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/>
        <w:jc w:val="right"/>
        <w:rPr/>
      </w:pPr>
      <w:r>
        <w:rPr/>
        <w:t xml:space="preserve">      </w:t>
      </w:r>
    </w:p>
    <w:p>
      <w:pPr>
        <w:pStyle w:val="1"/>
        <w:spacing w:lineRule="auto" w:line="240"/>
        <w:jc w:val="center"/>
        <w:rPr/>
      </w:pPr>
      <w:r>
        <w:rPr/>
        <w:drawing>
          <wp:inline distT="0" distB="0" distL="0" distR="0">
            <wp:extent cx="583565" cy="5835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852" t="12830" r="35267" b="4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ru-RU"/>
        </w:rPr>
        <w:t xml:space="preserve">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ПРИДОРОЖНОГО СЕЛЬСКОГО ПОСЕЛЕНИЯ 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25.11.2025 года                                                                                            № 50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ст. Придорожная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  <w:t>О внесении изменений в решение Совета  Придорожного сельского поселения Каневского района от 19 декабря 2024 года  № 18 «О бюджете  Придорожного сельского поселения Каневского района на 2025 год»</w:t>
      </w:r>
    </w:p>
    <w:p>
      <w:pPr>
        <w:pStyle w:val="Normal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В соответствии с  Бюджетным кодексом Российской Федерации и Уставом Придорожного сельского поселения Каневского района, рассмотрев вносимые изменения в решение № 18 сессии Совета Придорожного сельского поселения Каневского района от 19 декабря 2024г.  "О бюджете  Придорожного сельского поселения Каневского района на 2025 год" Совет Придорожного сельского поселения Каневского района р е ш и л :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 xml:space="preserve">1. 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zxx" w:bidi="zxx"/>
        </w:rPr>
        <w:t>Приложение № 4, 5, 6  решения изложить в следующей редакции:</w:t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Приложение № 4        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2024 год»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 19.12.2024 года  № 18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jc w:val="center"/>
        <w:rPr/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Придорожного сельского поселения Каневского района на 2025 год</w:t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                                                          тыс.руб.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90" w:type="dxa"/>
        <w:jc w:val="left"/>
        <w:tblInd w:w="-4" w:type="dxa"/>
        <w:tblCellMar>
          <w:top w:w="0" w:type="dxa"/>
          <w:left w:w="98" w:type="dxa"/>
          <w:bottom w:w="0" w:type="dxa"/>
          <w:right w:w="108" w:type="dxa"/>
        </w:tblCellMar>
      </w:tblPr>
      <w:tblGrid>
        <w:gridCol w:w="6664"/>
        <w:gridCol w:w="989"/>
        <w:gridCol w:w="706"/>
        <w:gridCol w:w="1430"/>
      </w:tblGrid>
      <w:tr>
        <w:trPr>
          <w:trHeight w:val="571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РЗ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28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  <w:r>
              <w:rPr/>
              <w:t>4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11727,3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 xml:space="preserve">Резервные фонды 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6139,3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2676,5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1686,3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05 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22182,3</w:t>
            </w:r>
          </w:p>
          <w:p>
            <w:pPr>
              <w:pStyle w:val="Normal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>
          <w:trHeight w:val="2268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Приложение № 5    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 19.12.2024 года  № 18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Распределение  бюджетных ассигнований по целевым статьям (муниципальным программам Придорожного сельского поселения Каневского района и непрограммным направлениям деятельности), группам видов расходов классификации расходов бюджета Придорожного сельского поселения Каневского района на 2025 год</w:t>
      </w:r>
    </w:p>
    <w:p>
      <w:pPr>
        <w:pStyle w:val="Normal"/>
        <w:ind w:right="991" w:hanging="0"/>
        <w:jc w:val="right"/>
        <w:rPr/>
      </w:pPr>
      <w:r>
        <w:rPr>
          <w:color w:val="000000"/>
          <w:sz w:val="28"/>
          <w:szCs w:val="28"/>
        </w:rPr>
        <w:tab/>
        <w:tab/>
        <w:t xml:space="preserve">                                                                                тыс.руб.</w:t>
      </w:r>
    </w:p>
    <w:tbl>
      <w:tblPr>
        <w:tblW w:w="9933" w:type="dxa"/>
        <w:jc w:val="left"/>
        <w:tblInd w:w="-714" w:type="dxa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67"/>
        <w:gridCol w:w="5384"/>
        <w:gridCol w:w="1985"/>
        <w:gridCol w:w="709"/>
        <w:gridCol w:w="1288"/>
      </w:tblGrid>
      <w:tr>
        <w:trPr>
          <w:trHeight w:val="94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ЦСР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ВР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22182,3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color w:val="000000"/>
              </w:rPr>
              <w:t xml:space="preserve">«Развитие деятельности органов местного самоуправления и гражданского общества Придорожного сельского поселения на 2020-2025 годы»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895,2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01 0 01 10010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kern w:val="2"/>
              </w:rPr>
            </w:pPr>
            <w:r>
              <w:rPr>
                <w:kern w:val="2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01 0 01 10010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01 0 02 10030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01 0 02 10030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734,6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Прочие мероприятия в рамках реализации полномочий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734,6</w:t>
            </w:r>
          </w:p>
        </w:tc>
      </w:tr>
      <w:tr>
        <w:trPr>
          <w:trHeight w:val="571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712,5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800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Организация мероприятий праздничных дней, юбилейных и памятных дат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01 0 04 00000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01 0 04 10050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01 0 04 10050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Муниципальная программа «Обеспечение безопасности населения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2,4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Мероприятия по организации противодействия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02 0 01 10060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02 0 01 10060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Мероприятия  по обеспечению пожарной безопасности на территории поселения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02 0 02 10070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02 0 02 10070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02 0 03 10340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02 0 03 10340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Муниципальная программа «Развитие сельского хозяйства на территории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Сдача на утилизацию биоотходов специализированной организации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Мероприятия по утилизации биоотходов специализированной организацией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03 0 02 10090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616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03 0 02 10090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Борьба с опасными и карантинными объектами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03 0 03 10100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03 0 03 10100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Контроль бездомных животных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03 0 04 00000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Мероприятия по контролю бездомных животных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03 0 04 10350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03 0 04 10350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bCs/>
              </w:rPr>
              <w:t>«Развитие и содержание дорожного хозяйства в Придорожном сельском поселении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04 0 01 00000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Calibri"/>
                <w:kern w:val="2"/>
                <w:highlight w:val="white"/>
              </w:rPr>
            </w:pPr>
            <w:r>
              <w:rPr>
                <w:rFonts w:eastAsia="Calibri"/>
                <w:kern w:val="2"/>
                <w:highlight w:val="white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   </w:t>
            </w:r>
            <w:r>
              <w:rPr/>
              <w:t>04 0 01 9Д110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 0 01 9Д110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05 0 01 00000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05 0 01 10120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05 0 01 10120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Муниципальная программа «Развитие жилищно-коммунального хозяйства и благоустройства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  <w:t xml:space="preserve">  </w:t>
            </w:r>
            <w:r>
              <w:rPr>
                <w:b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1686,3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Развитие водоснабжения сельского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06 0 01 00000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06 0 01 10140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06 0 01 10140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06 0 03 00000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06 0 03 10160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1211,3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06 0 03 10160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Другие мероприятия в области благоустройства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06 0 03 10170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06 0 03 10170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 xml:space="preserve">«Развитие культуры в Придорожном сельском поселении Каневского района </w:t>
            </w:r>
            <w:r>
              <w:rPr>
                <w:b/>
              </w:rPr>
              <w:t>на 2020-2025 годы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Дворцы и дома культуры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lang w:eastAsia="zxx" w:bidi="zxx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08 0 01 00590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08 0 01 00590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600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Развитие библиотечной системы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lang w:eastAsia="zxx" w:bidi="zxx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08 0 02 00590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08 0 02 00590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600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color w:val="000000"/>
              </w:rPr>
              <w:t xml:space="preserve">«Развитие физической культуры и спорта в Придорожном сельском поселении Каневского района </w:t>
            </w:r>
            <w:r>
              <w:rPr>
                <w:b/>
              </w:rPr>
              <w:t>на 2020-2025 годы</w:t>
            </w:r>
            <w:r>
              <w:rPr>
                <w:b/>
                <w:color w:val="000000"/>
              </w:rPr>
              <w:t xml:space="preserve">» 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выполнения функций в области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10 0 01 10230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10 0 01 10230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 xml:space="preserve">Молодежь Придорожного сельского поселения Каневского района </w:t>
            </w:r>
            <w:r>
              <w:rPr>
                <w:b/>
              </w:rPr>
              <w:t>на 2021-2025 годы</w:t>
            </w:r>
            <w:r>
              <w:rPr>
                <w:b/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Обеспечение выполнения функций в области молодежной политики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13 0 01 10330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13 0 01 10330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5003,6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Обеспечение функционирования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4275,3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4275,3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4275,3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/>
              <w:t>52 2 00 00000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Резервный фонд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/>
              <w:t>52 2 00 10230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/>
              <w:t>52 2 00 10230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52 3 00 00000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52 3 00 60190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52 3 00 60190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52 4 00 00000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528,7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52 4 00 10360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52 4 00 10360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52 4 00 51180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52 4 00 51180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Осуществление расходов связанных с ритуальными услугами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52 5 00 00000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52 5 00 10400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52 5 00 10400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b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56 0 00 0000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/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5047,5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56 1 01 00000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4768,6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iCs/>
              </w:rPr>
            </w:pPr>
            <w:r>
              <w:rPr>
                <w:iCs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278,2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Доплаты к пенсиям, дополнительное пенсионное обеспечение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61 1 00 10240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61 1 00 10240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Управление финансами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63 2 00 00000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63 2 00 10220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63 2 00 10220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Обеспечение  функционирования контрольно-счетных органов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65 1 00 20010</w:t>
            </w:r>
          </w:p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65 1 00 20010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65 1 00 20020</w:t>
            </w:r>
          </w:p>
          <w:p>
            <w:pPr>
              <w:pStyle w:val="Normal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65 1 00 20020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right="991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Приложение № 6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от 18.12.2024года  № 18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jc w:val="center"/>
        <w:rPr/>
      </w:pPr>
      <w:r>
        <w:rPr>
          <w:sz w:val="28"/>
          <w:szCs w:val="28"/>
        </w:rPr>
        <w:t>Ведомственная структура расходов бюджета Придорожного сельского поселения Каневского района на 2025 год</w:t>
      </w:r>
    </w:p>
    <w:p>
      <w:pPr>
        <w:pStyle w:val="Normal"/>
        <w:jc w:val="right"/>
        <w:rPr/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тыс. руб.</w:t>
      </w:r>
    </w:p>
    <w:tbl>
      <w:tblPr>
        <w:tblW w:w="10642" w:type="dxa"/>
        <w:jc w:val="left"/>
        <w:tblInd w:w="-714" w:type="dxa"/>
        <w:tblCellMar>
          <w:top w:w="0" w:type="dxa"/>
          <w:left w:w="98" w:type="dxa"/>
          <w:bottom w:w="0" w:type="dxa"/>
          <w:right w:w="108" w:type="dxa"/>
        </w:tblCellMar>
      </w:tblPr>
      <w:tblGrid>
        <w:gridCol w:w="3970"/>
        <w:gridCol w:w="850"/>
        <w:gridCol w:w="854"/>
        <w:gridCol w:w="705"/>
        <w:gridCol w:w="1985"/>
        <w:gridCol w:w="850"/>
        <w:gridCol w:w="1427"/>
      </w:tblGrid>
      <w:tr>
        <w:trPr>
          <w:trHeight w:val="94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ВД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РЗ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11727,3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1266,7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функционирования контрольно- счетных органов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ind w:left="-105" w:right="-108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-105" w:right="-108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6139,3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расходов связанных с ритуальными услугами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56 0 00 0000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jc w:val="both"/>
              <w:rPr/>
            </w:pPr>
            <w:r>
              <w:rPr>
                <w:sz w:val="28"/>
                <w:szCs w:val="28"/>
              </w:rPr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4768,6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278,2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0,7 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 на 2020-2025 годы»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Мероприятия по осуществлению функций  по территориальным органам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734,6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734,6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22,1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01 0 04 00000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  <w:lang w:eastAsia="zxx" w:bidi="zxx"/>
              </w:rP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 w:eastAsia="zxx" w:bidi="zxx"/>
              </w:rPr>
              <w:t xml:space="preserve">01 </w:t>
            </w:r>
            <w:r>
              <w:rPr>
                <w:sz w:val="28"/>
                <w:szCs w:val="28"/>
                <w:lang w:eastAsia="zxx" w:bidi="zxx"/>
              </w:rPr>
              <w:t>0</w:t>
            </w:r>
            <w:r>
              <w:rPr>
                <w:sz w:val="28"/>
                <w:szCs w:val="28"/>
                <w:lang w:val="en-US" w:eastAsia="zxx" w:bidi="zxx"/>
              </w:rPr>
              <w:t xml:space="preserve"> 0</w:t>
            </w:r>
            <w:r>
              <w:rPr>
                <w:sz w:val="28"/>
                <w:szCs w:val="28"/>
                <w:lang w:eastAsia="zxx" w:bidi="zxx"/>
              </w:rPr>
              <w:t xml:space="preserve">4 </w:t>
            </w:r>
            <w:r>
              <w:rPr>
                <w:sz w:val="28"/>
                <w:szCs w:val="28"/>
                <w:lang w:val="en-US" w:eastAsia="zxx" w:bidi="zxx"/>
              </w:rPr>
              <w:t>10</w:t>
            </w:r>
            <w:r>
              <w:rPr>
                <w:sz w:val="28"/>
                <w:szCs w:val="28"/>
                <w:lang w:eastAsia="zxx" w:bidi="zxx"/>
              </w:rPr>
              <w:t>05</w:t>
            </w:r>
            <w:r>
              <w:rPr>
                <w:sz w:val="28"/>
                <w:szCs w:val="28"/>
                <w:lang w:val="en-US" w:eastAsia="zxx" w:bidi="zxx"/>
              </w:rPr>
              <w:t>0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 w:eastAsia="zxx" w:bidi="zxx"/>
              </w:rPr>
              <w:t xml:space="preserve">01 </w:t>
            </w:r>
            <w:r>
              <w:rPr>
                <w:sz w:val="28"/>
                <w:szCs w:val="28"/>
                <w:lang w:eastAsia="zxx" w:bidi="zxx"/>
              </w:rPr>
              <w:t>0</w:t>
            </w:r>
            <w:r>
              <w:rPr>
                <w:sz w:val="28"/>
                <w:szCs w:val="28"/>
                <w:lang w:val="en-US" w:eastAsia="zxx" w:bidi="zxx"/>
              </w:rPr>
              <w:t xml:space="preserve"> 0</w:t>
            </w:r>
            <w:r>
              <w:rPr>
                <w:sz w:val="28"/>
                <w:szCs w:val="28"/>
                <w:lang w:eastAsia="zxx" w:bidi="zxx"/>
              </w:rPr>
              <w:t xml:space="preserve">4 </w:t>
            </w:r>
            <w:r>
              <w:rPr>
                <w:sz w:val="28"/>
                <w:szCs w:val="28"/>
                <w:lang w:val="en-US" w:eastAsia="zxx" w:bidi="zxx"/>
              </w:rPr>
              <w:t>10</w:t>
            </w:r>
            <w:r>
              <w:rPr>
                <w:sz w:val="28"/>
                <w:szCs w:val="28"/>
                <w:lang w:eastAsia="zxx" w:bidi="zxx"/>
              </w:rPr>
              <w:t>05</w:t>
            </w:r>
            <w:r>
              <w:rPr>
                <w:sz w:val="28"/>
                <w:szCs w:val="28"/>
                <w:lang w:val="en-US" w:eastAsia="zxx" w:bidi="zxx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«Обеспечение безопасности населения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Противодействие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  <w:lang w:val="en-US" w:eastAsia="zxx" w:bidi="zxx"/>
              </w:rPr>
              <w:t>02 0 03 00000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02 0 03 10340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населения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2676,5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«Развитие сельского хозяйства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03 0 02 10090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03 0 02 10090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Борьба с опасными и карантинными объектами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бездомных животных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03 0 04 00000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контролю бездомных животных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2630,3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«Комплексное и устойчивое развитие Придорожного сельского поселения Каневского района в сфере строительства и архитектуры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1686,3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  <w:lang w:eastAsia="zxx" w:bidi="zxx"/>
              </w:rPr>
              <w:t>Муниципальная программа «</w:t>
            </w:r>
            <w:r>
              <w:rPr>
                <w:sz w:val="28"/>
              </w:rPr>
              <w:t>Развитие жилищно-коммунального хозяйства и благоустройства 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Развитие водоснабжения сельского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Calibri"/>
                <w:b/>
                <w:sz w:val="28"/>
                <w:szCs w:val="28"/>
                <w:lang w:eastAsia="zxx" w:bidi="zxx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Calibri"/>
                <w:sz w:val="28"/>
                <w:szCs w:val="28"/>
                <w:lang w:eastAsia="zxx" w:bidi="zxx"/>
              </w:rPr>
              <w:t>Муниципальная программа «</w:t>
            </w:r>
            <w:r>
              <w:rPr>
                <w:sz w:val="28"/>
              </w:rPr>
              <w:t xml:space="preserve">Развитие жилищно-коммунального хозяйства и благоустройства 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1211,3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bookmarkStart w:id="0" w:name="__DdeLink__42058_2232228667"/>
            <w:bookmarkEnd w:id="0"/>
            <w:r>
              <w:rPr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bCs/>
                <w:sz w:val="28"/>
                <w:szCs w:val="28"/>
              </w:rPr>
              <w:t xml:space="preserve">Молодежь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2021-2025 годы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выполнения функций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443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«Развитие культуры в Придорожном сельском поселении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Дополнительное материальное обеспечение к пенсии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>«Развитие физической культуры и спорта в Придорожном сельском поселении Каневского района на 2020-2025 годы»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22 181,3</w:t>
            </w:r>
          </w:p>
        </w:tc>
      </w:tr>
    </w:tbl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rFonts w:eastAsia="Times New Roman" w:cs="Times New Roman"/>
          <w:color w:val="000000"/>
          <w:kern w:val="2"/>
          <w:lang w:val="ru-RU" w:eastAsia="zxx" w:bidi="zxx"/>
        </w:rPr>
      </w:pPr>
      <w:r>
        <w:rPr>
          <w:rFonts w:eastAsia="Times New Roman" w:cs="Times New Roman"/>
          <w:color w:val="000000"/>
          <w:kern w:val="2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ind w:left="0" w:right="0" w:hanging="0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 w:bidi="zxx"/>
        </w:rPr>
        <w:t xml:space="preserve">       </w:t>
      </w:r>
      <w:r>
        <w:rPr>
          <w:rFonts w:eastAsia="Times New Roman" w:cs="Times New Roman"/>
          <w:color w:val="00000A"/>
          <w:kern w:val="2"/>
          <w:sz w:val="28"/>
          <w:szCs w:val="28"/>
          <w:lang w:val="ru-RU" w:eastAsia="zxx" w:bidi="zxx"/>
        </w:rPr>
        <w:t>2</w:t>
      </w: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  <w:t>. Контроль за выполнением данного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>
      <w:pPr>
        <w:pStyle w:val="Normal"/>
        <w:rPr/>
      </w:pPr>
      <w:r>
        <w:rPr>
          <w:rFonts w:eastAsia="Times New Roman" w:cs="Times New Roman"/>
          <w:sz w:val="28"/>
          <w:szCs w:val="28"/>
          <w:lang w:bidi="zxx"/>
        </w:rPr>
        <w:t xml:space="preserve">        </w:t>
      </w:r>
      <w:r>
        <w:rPr>
          <w:rFonts w:eastAsia="Times New Roman" w:cs="Times New Roman"/>
          <w:sz w:val="28"/>
          <w:szCs w:val="28"/>
          <w:lang w:bidi="zxx"/>
        </w:rPr>
        <w:t>3</w:t>
      </w:r>
      <w:r>
        <w:rPr>
          <w:rFonts w:cs="Times New Roman"/>
          <w:sz w:val="28"/>
          <w:szCs w:val="28"/>
          <w:lang w:bidi="zxx"/>
        </w:rPr>
        <w:t>. Решение вступает в силу со дня его о</w:t>
      </w:r>
      <w:r>
        <w:rPr>
          <w:rFonts w:cs="Times New Roman"/>
          <w:sz w:val="28"/>
          <w:szCs w:val="28"/>
          <w:lang w:bidi="zxx"/>
        </w:rPr>
        <w:t>публикования</w:t>
      </w:r>
      <w:r>
        <w:rPr>
          <w:rFonts w:cs="Times New Roman"/>
          <w:sz w:val="28"/>
          <w:szCs w:val="28"/>
          <w:lang w:bidi="zxx"/>
        </w:rPr>
        <w:t>.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rPr>
          <w:rFonts w:ascii="Times New Roman" w:hAnsi="Times New Roman" w:eastAsia="Calibri" w:cs="Times New Roman"/>
          <w:color w:val="00000A"/>
          <w:sz w:val="22"/>
          <w:szCs w:val="22"/>
          <w:lang w:val="ru-RU" w:eastAsia="zxx" w:bidi="zxx"/>
        </w:rPr>
      </w:pPr>
      <w:r>
        <w:rPr>
          <w:rFonts w:eastAsia="Calibri" w:cs="Times New Roman"/>
          <w:color w:val="00000A"/>
          <w:sz w:val="22"/>
          <w:szCs w:val="22"/>
          <w:lang w:val="ru-RU" w:eastAsia="zxx" w:bidi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jc w:val="both"/>
        <w:rPr/>
      </w:pPr>
      <w:r>
        <w:rPr>
          <w:rStyle w:val="21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Глава Придорожного сельского поселения </w:t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/>
      </w:pPr>
      <w:r>
        <w:rPr>
          <w:rStyle w:val="21"/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  <w:t>Каневского района                                                                              Г.С. Иванцов</w:t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211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rPr>
          <w:rStyle w:val="21"/>
          <w:rFonts w:ascii="Times New Roman" w:hAnsi="Times New Roman" w:eastAsia="Times New Roman" w:cs="Times New Roman"/>
          <w:color w:val="000000"/>
          <w:sz w:val="28"/>
          <w:szCs w:val="28"/>
          <w:lang w:val="ru-RU" w:eastAsia="zxx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xx"/>
        </w:rPr>
      </w:r>
    </w:p>
    <w:p>
      <w:pPr>
        <w:pStyle w:val="Normal"/>
        <w:shd w:val="clear" w:fill="FFFFFF"/>
        <w:tabs>
          <w:tab w:val="clear" w:pos="708"/>
          <w:tab w:val="left" w:pos="1182" w:leader="none"/>
        </w:tabs>
        <w:spacing w:lineRule="exact" w:line="322" w:before="0" w:after="0"/>
        <w:ind w:left="0" w:right="279" w:hanging="0"/>
        <w:jc w:val="center"/>
        <w:rPr>
          <w:rStyle w:val="21"/>
          <w:rFonts w:eastAsia="Calibri" w:cs="Times New Roman"/>
          <w:color w:val="000000"/>
          <w:sz w:val="28"/>
          <w:szCs w:val="28"/>
          <w:lang w:val="ru-RU" w:eastAsia="zxx" w:bidi="zxx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2">
      <w:start w:val="1"/>
      <w:pStyle w:val="3"/>
      <w:numFmt w:val="decimal"/>
      <w:lvlText w:val="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3">
      <w:start w:val="1"/>
      <w:pStyle w:val="4"/>
      <w:numFmt w:val="decimal"/>
      <w:lvlText w:val="%2.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3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348"/>
      <w:ind w:left="0" w:right="0" w:hanging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">
    <w:name w:val="Heading 2"/>
    <w:basedOn w:val="Normal"/>
    <w:link w:val="20"/>
    <w:qFormat/>
    <w:rsid w:val="00857328"/>
    <w:pPr>
      <w:keepNext w:val="true"/>
      <w:numPr>
        <w:ilvl w:val="1"/>
        <w:numId w:val="1"/>
      </w:numPr>
      <w:suppressAutoHyphens w:val="true"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Normal"/>
    <w:link w:val="30"/>
    <w:qFormat/>
    <w:rsid w:val="00857328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kern w:val="2"/>
      <w:sz w:val="28"/>
      <w:szCs w:val="28"/>
      <w:lang w:eastAsia="ar-SA"/>
    </w:rPr>
  </w:style>
  <w:style w:type="paragraph" w:styleId="4">
    <w:name w:val="Heading 4"/>
    <w:basedOn w:val="Normal"/>
    <w:link w:val="40"/>
    <w:qFormat/>
    <w:rsid w:val="00857328"/>
    <w:pPr>
      <w:keepNext w:val="true"/>
      <w:numPr>
        <w:ilvl w:val="3"/>
        <w:numId w:val="1"/>
      </w:numPr>
      <w:suppressAutoHyphens w:val="true"/>
      <w:jc w:val="both"/>
      <w:outlineLvl w:val="3"/>
    </w:pPr>
    <w:rPr>
      <w:kern w:val="2"/>
      <w:sz w:val="28"/>
      <w:szCs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5732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21" w:customStyle="1">
    <w:name w:val="Основной текст (2)_"/>
    <w:link w:val="210"/>
    <w:qFormat/>
    <w:locked/>
    <w:rsid w:val="00857328"/>
    <w:rPr>
      <w:sz w:val="26"/>
      <w:szCs w:val="26"/>
      <w:shd w:fill="FFFFFF" w:val="clear"/>
    </w:rPr>
  </w:style>
  <w:style w:type="character" w:styleId="22pt" w:customStyle="1">
    <w:name w:val="Основной текст (2) + Интервал 2 pt"/>
    <w:qFormat/>
    <w:rsid w:val="00857328"/>
    <w:rPr>
      <w:spacing w:val="50"/>
      <w:sz w:val="26"/>
      <w:szCs w:val="26"/>
      <w:lang w:bidi="ar-SA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857328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1" w:customStyle="1">
    <w:name w:val="Нижний колонтитул Знак"/>
    <w:basedOn w:val="DefaultParagraphFont"/>
    <w:link w:val="a7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22" w:customStyle="1">
    <w:name w:val="Заголовок 2 Знак"/>
    <w:basedOn w:val="DefaultParagraphFont"/>
    <w:link w:val="2"/>
    <w:qFormat/>
    <w:rsid w:val="00857328"/>
    <w:rPr>
      <w:rFonts w:ascii="Arial" w:hAnsi="Arial" w:eastAsia="Times New Roman" w:cs="Arial"/>
      <w:b/>
      <w:bCs/>
      <w:i/>
      <w:iCs/>
      <w:kern w:val="2"/>
      <w:sz w:val="28"/>
      <w:szCs w:val="28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857328"/>
    <w:rPr>
      <w:rFonts w:ascii="Times New Roman" w:hAnsi="Times New Roman" w:eastAsia="Times New Roman" w:cs="Times New Roman"/>
      <w:b/>
      <w:kern w:val="2"/>
      <w:sz w:val="28"/>
      <w:szCs w:val="28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857328"/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character" w:styleId="12" w:customStyle="1">
    <w:name w:val="Основной шрифт абзаца1"/>
    <w:qFormat/>
    <w:rsid w:val="00857328"/>
    <w:rPr/>
  </w:style>
  <w:style w:type="character" w:styleId="13" w:customStyle="1">
    <w:name w:val="Номер страницы1"/>
    <w:basedOn w:val="12"/>
    <w:qFormat/>
    <w:rsid w:val="00857328"/>
    <w:rPr/>
  </w:style>
  <w:style w:type="character" w:styleId="Style12" w:customStyle="1">
    <w:name w:val="Знак Знак"/>
    <w:qFormat/>
    <w:rsid w:val="00857328"/>
    <w:rPr/>
  </w:style>
  <w:style w:type="character" w:styleId="Style13" w:customStyle="1">
    <w:name w:val="Гипертекстовая ссылка"/>
    <w:qFormat/>
    <w:rsid w:val="00857328"/>
    <w:rPr/>
  </w:style>
  <w:style w:type="character" w:styleId="Style14" w:customStyle="1">
    <w:name w:val="Верхний колонтитул Знак"/>
    <w:qFormat/>
    <w:rsid w:val="00857328"/>
    <w:rPr/>
  </w:style>
  <w:style w:type="character" w:styleId="Style15" w:customStyle="1">
    <w:name w:val="Текст Знак"/>
    <w:qFormat/>
    <w:rsid w:val="00857328"/>
    <w:rPr/>
  </w:style>
  <w:style w:type="character" w:styleId="Style16" w:customStyle="1">
    <w:name w:val="Текст выноски Знак"/>
    <w:qFormat/>
    <w:rsid w:val="00857328"/>
    <w:rPr/>
  </w:style>
  <w:style w:type="character" w:styleId="Style17" w:customStyle="1">
    <w:name w:val="Основной текст Знак"/>
    <w:qFormat/>
    <w:rsid w:val="00857328"/>
    <w:rPr/>
  </w:style>
  <w:style w:type="character" w:styleId="23" w:customStyle="1">
    <w:name w:val="Основной текст с отступом 2 Знак"/>
    <w:qFormat/>
    <w:rsid w:val="00857328"/>
    <w:rPr/>
  </w:style>
  <w:style w:type="character" w:styleId="24" w:customStyle="1">
    <w:name w:val="Основной текст 2 Знак"/>
    <w:qFormat/>
    <w:rsid w:val="00857328"/>
    <w:rPr/>
  </w:style>
  <w:style w:type="character" w:styleId="Style18" w:customStyle="1">
    <w:name w:val="Заголовок Знак"/>
    <w:basedOn w:val="DefaultParagraphFont"/>
    <w:link w:val="af"/>
    <w:qFormat/>
    <w:rsid w:val="00857328"/>
    <w:rPr>
      <w:rFonts w:ascii="Arial" w:hAnsi="Arial" w:eastAsia="Lucida Sans Unicode" w:cs="Tahoma"/>
      <w:kern w:val="2"/>
      <w:sz w:val="28"/>
      <w:szCs w:val="28"/>
      <w:lang w:eastAsia="ar-SA"/>
    </w:rPr>
  </w:style>
  <w:style w:type="character" w:styleId="14" w:customStyle="1">
    <w:name w:val="Основной текст Знак1"/>
    <w:basedOn w:val="DefaultParagraphFont"/>
    <w:link w:val="a0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5" w:customStyle="1">
    <w:name w:val="Верхний колонтитул Знак1"/>
    <w:basedOn w:val="DefaultParagraphFont"/>
    <w:link w:val="af2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6" w:customStyle="1">
    <w:name w:val="Текст выноски Знак1"/>
    <w:basedOn w:val="DefaultParagraphFont"/>
    <w:link w:val="af9"/>
    <w:qFormat/>
    <w:rsid w:val="00857328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ListLabel1">
    <w:name w:val="ListLabel 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">
    <w:name w:val="ListLabel 1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9">
    <w:name w:val="ListLabel 19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5">
    <w:name w:val="ListLabel 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6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7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9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1">
    <w:name w:val="ListLabel 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2">
    <w:name w:val="ListLabel 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5">
    <w:name w:val="ListLabel 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6">
    <w:name w:val="ListLabel 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6">
    <w:name w:val="ListLabel 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5">
    <w:name w:val="ListLabel 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6">
    <w:name w:val="ListLabel 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7">
    <w:name w:val="ListLabel 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8">
    <w:name w:val="ListLabel 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9">
    <w:name w:val="ListLabel 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0">
    <w:name w:val="ListLabel 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1">
    <w:name w:val="ListLabel 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2">
    <w:name w:val="ListLabel 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3">
    <w:name w:val="ListLabel 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4">
    <w:name w:val="ListLabel 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5">
    <w:name w:val="ListLabel 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6">
    <w:name w:val="ListLabel 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7">
    <w:name w:val="ListLabel 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8">
    <w:name w:val="ListLabel 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9">
    <w:name w:val="ListLabel 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0">
    <w:name w:val="ListLabel 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1">
    <w:name w:val="ListLabel 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2">
    <w:name w:val="ListLabel 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3">
    <w:name w:val="ListLabel 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4">
    <w:name w:val="ListLabel 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5">
    <w:name w:val="ListLabel 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6">
    <w:name w:val="ListLabel 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7">
    <w:name w:val="ListLabel 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8">
    <w:name w:val="ListLabel 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9">
    <w:name w:val="ListLabel 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0">
    <w:name w:val="ListLabel 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1">
    <w:name w:val="ListLabel 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2">
    <w:name w:val="ListLabel 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3">
    <w:name w:val="ListLabel 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4">
    <w:name w:val="ListLabel 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5">
    <w:name w:val="ListLabel 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6">
    <w:name w:val="ListLabel 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7">
    <w:name w:val="ListLabel 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8">
    <w:name w:val="ListLabel 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9">
    <w:name w:val="ListLabel 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0">
    <w:name w:val="ListLabel 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1">
    <w:name w:val="ListLabel 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2">
    <w:name w:val="ListLabel 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3">
    <w:name w:val="ListLabel 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4">
    <w:name w:val="ListLabel 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5">
    <w:name w:val="ListLabel 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6">
    <w:name w:val="ListLabel 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7">
    <w:name w:val="ListLabel 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8">
    <w:name w:val="ListLabel 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9">
    <w:name w:val="ListLabel 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14"/>
    <w:rsid w:val="00857328"/>
    <w:pPr>
      <w:suppressAutoHyphens w:val="true"/>
      <w:spacing w:before="0" w:after="120"/>
    </w:pPr>
    <w:rPr>
      <w:kern w:val="2"/>
      <w:lang w:eastAsia="ar-SA"/>
    </w:rPr>
  </w:style>
  <w:style w:type="paragraph" w:styleId="Style21">
    <w:name w:val="List"/>
    <w:basedOn w:val="Style20"/>
    <w:rsid w:val="00857328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211" w:customStyle="1">
    <w:name w:val="Основной текст (2)1"/>
    <w:basedOn w:val="Normal"/>
    <w:link w:val="21"/>
    <w:qFormat/>
    <w:rsid w:val="00857328"/>
    <w:pPr>
      <w:widowControl w:val="false"/>
      <w:shd w:val="clear" w:color="auto" w:fill="FFFFFF"/>
      <w:spacing w:lineRule="atLeast" w:line="240" w:before="420" w:after="6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25" w:customStyle="1">
    <w:name w:val="Текст2"/>
    <w:basedOn w:val="Normal"/>
    <w:qFormat/>
    <w:rsid w:val="00857328"/>
    <w:pPr>
      <w:suppressAutoHyphens w:val="true"/>
    </w:pPr>
    <w:rPr>
      <w:rFonts w:ascii="Courier New" w:hAnsi="Courier New" w:cs="Courier New"/>
      <w:sz w:val="20"/>
      <w:szCs w:val="20"/>
      <w:lang w:eastAsia="zh-CN"/>
    </w:rPr>
  </w:style>
  <w:style w:type="paragraph" w:styleId="17" w:customStyle="1">
    <w:name w:val="Текст1"/>
    <w:basedOn w:val="Normal"/>
    <w:qFormat/>
    <w:rsid w:val="00857328"/>
    <w:pPr/>
    <w:rPr>
      <w:rFonts w:ascii="Courier New" w:hAnsi="Courier New"/>
      <w:sz w:val="20"/>
      <w:szCs w:val="20"/>
      <w:lang w:eastAsia="ar-SA"/>
    </w:rPr>
  </w:style>
  <w:style w:type="paragraph" w:styleId="Style24">
    <w:name w:val="Body Text Indent"/>
    <w:basedOn w:val="Normal"/>
    <w:link w:val="a5"/>
    <w:rsid w:val="00857328"/>
    <w:pPr>
      <w:suppressAutoHyphens w:val="true"/>
      <w:ind w:firstLine="709"/>
      <w:jc w:val="both"/>
    </w:pPr>
    <w:rPr>
      <w:sz w:val="28"/>
      <w:szCs w:val="20"/>
      <w:lang w:eastAsia="ar-SA"/>
    </w:rPr>
  </w:style>
  <w:style w:type="paragraph" w:styleId="Style25" w:customStyle="1">
    <w:name w:val="Содержимое таблицы"/>
    <w:basedOn w:val="Normal"/>
    <w:qFormat/>
    <w:rsid w:val="00857328"/>
    <w:pPr>
      <w:suppressLineNumbers/>
      <w:suppressAutoHyphens w:val="true"/>
    </w:pPr>
    <w:rPr>
      <w:lang w:eastAsia="ar-SA"/>
    </w:rPr>
  </w:style>
  <w:style w:type="paragraph" w:styleId="Style26">
    <w:name w:val="Footer"/>
    <w:basedOn w:val="Normal"/>
    <w:link w:val="a8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Style27">
    <w:name w:val="Title"/>
    <w:basedOn w:val="Normal"/>
    <w:link w:val="af0"/>
    <w:qFormat/>
    <w:rsid w:val="00857328"/>
    <w:pPr>
      <w:keepNext w:val="true"/>
      <w:suppressAutoHyphens w:val="true"/>
      <w:spacing w:before="240" w:after="120"/>
    </w:pPr>
    <w:rPr>
      <w:rFonts w:ascii="Arial" w:hAnsi="Arial" w:eastAsia="Lucida Sans Unicode" w:cs="Tahoma"/>
      <w:kern w:val="2"/>
      <w:sz w:val="28"/>
      <w:szCs w:val="28"/>
      <w:lang w:eastAsia="ar-SA"/>
    </w:rPr>
  </w:style>
  <w:style w:type="paragraph" w:styleId="18" w:customStyle="1">
    <w:name w:val="Название1"/>
    <w:basedOn w:val="Normal"/>
    <w:qFormat/>
    <w:rsid w:val="00857328"/>
    <w:pPr>
      <w:suppressLineNumbers/>
      <w:suppressAutoHyphens w:val="true"/>
      <w:spacing w:before="120" w:after="120"/>
    </w:pPr>
    <w:rPr>
      <w:rFonts w:cs="Tahoma"/>
      <w:i/>
      <w:iCs/>
      <w:kern w:val="2"/>
      <w:lang w:eastAsia="ar-SA"/>
    </w:rPr>
  </w:style>
  <w:style w:type="paragraph" w:styleId="19" w:customStyle="1">
    <w:name w:val="Указатель1"/>
    <w:basedOn w:val="Normal"/>
    <w:qFormat/>
    <w:rsid w:val="00857328"/>
    <w:pPr>
      <w:suppressLineNumbers/>
      <w:suppressAutoHyphens w:val="true"/>
    </w:pPr>
    <w:rPr>
      <w:rFonts w:cs="Tahoma"/>
      <w:kern w:val="2"/>
      <w:lang w:eastAsia="ar-SA"/>
    </w:rPr>
  </w:style>
  <w:style w:type="paragraph" w:styleId="Style28">
    <w:name w:val="Header"/>
    <w:basedOn w:val="Normal"/>
    <w:link w:val="17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32" w:customStyle="1">
    <w:name w:val="Текст3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0" w:customStyle="1">
    <w:name w:val="Текст выноски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ConsNormal" w:customStyle="1">
    <w:name w:val="ConsNormal"/>
    <w:qFormat/>
    <w:rsid w:val="0085732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ar-SA" w:bidi="ar-SA"/>
    </w:rPr>
  </w:style>
  <w:style w:type="paragraph" w:styleId="Style29" w:customStyle="1">
    <w:name w:val="Нормальный (таблица)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0" w:customStyle="1">
    <w:name w:val="Прижатый влево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1" w:customStyle="1">
    <w:name w:val="обычный_1 Знак Знак Знак Знак Знак Знак Знак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1" w:customStyle="1">
    <w:name w:val="обычный_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2" w:customStyle="1">
    <w:name w:val="Основной текст с отступом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3" w:customStyle="1">
    <w:name w:val="Основной текст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2" w:customStyle="1">
    <w:name w:val="Знак Знак1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3" w:customStyle="1">
    <w:name w:val="Знак Знак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2" w:customStyle="1">
    <w:name w:val="Содержимое врезки"/>
    <w:basedOn w:val="Style20"/>
    <w:qFormat/>
    <w:rsid w:val="00857328"/>
    <w:pPr/>
    <w:rPr/>
  </w:style>
  <w:style w:type="paragraph" w:styleId="Style33" w:customStyle="1">
    <w:name w:val="Знак Знак Знак Знак"/>
    <w:basedOn w:val="Normal"/>
    <w:qFormat/>
    <w:rsid w:val="00857328"/>
    <w:pPr>
      <w:widowControl w:val="false"/>
      <w:suppressAutoHyphens w:val="true"/>
      <w:spacing w:lineRule="exact" w:line="240" w:before="0" w:after="160"/>
    </w:pPr>
    <w:rPr>
      <w:rFonts w:ascii="Arial" w:hAnsi="Arial" w:eastAsia="Arial Unicode MS" w:cs="Arial"/>
      <w:b/>
      <w:bCs/>
      <w:color w:val="000000"/>
      <w:sz w:val="20"/>
      <w:szCs w:val="20"/>
      <w:lang w:val="en-US" w:eastAsia="de-DE" w:bidi="en-US"/>
    </w:rPr>
  </w:style>
  <w:style w:type="paragraph" w:styleId="311" w:customStyle="1">
    <w:name w:val="Основной текст 31"/>
    <w:basedOn w:val="Normal"/>
    <w:qFormat/>
    <w:rsid w:val="00857328"/>
    <w:pPr>
      <w:widowControl w:val="false"/>
      <w:suppressAutoHyphens w:val="true"/>
      <w:spacing w:before="0" w:after="12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1c"/>
    <w:qFormat/>
    <w:rsid w:val="00857328"/>
    <w:pPr>
      <w:suppressAutoHyphens w:val="true"/>
    </w:pPr>
    <w:rPr>
      <w:rFonts w:ascii="Segoe UI" w:hAnsi="Segoe UI" w:cs="Segoe UI"/>
      <w:kern w:val="2"/>
      <w:sz w:val="18"/>
      <w:szCs w:val="18"/>
      <w:lang w:eastAsia="ar-SA"/>
    </w:rPr>
  </w:style>
  <w:style w:type="paragraph" w:styleId="Style34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rsid w:val="0085732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LibreOffice/6.2.2.2$Windows_x86 LibreOffice_project/2b840030fec2aae0fd2658d8d4f9548af4e3518d</Application>
  <Pages>21</Pages>
  <Words>4358</Words>
  <Characters>26539</Characters>
  <CharactersWithSpaces>30192</CharactersWithSpaces>
  <Paragraphs>1408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2025-02-17T09:26:00Z</dcterms:created>
  <dc:creator>Glavbuh</dc:creator>
  <dc:description/>
  <dc:language>ru-RU</dc:language>
  <cp:lastModifiedBy/>
  <cp:lastPrinted>2025-09-11T14:05:32Z</cp:lastPrinted>
  <dcterms:modified xsi:type="dcterms:W3CDTF">2025-11-26T11:05:39Z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