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r>
    </w:p>
    <w:p>
      <w:pPr>
        <w:pStyle w:val="Normal"/>
        <w:ind w:firstLine="5103"/>
        <w:rPr>
          <w:color w:val="000000"/>
        </w:rPr>
      </w:pPr>
      <w:r>
        <w:rPr>
          <w:color w:val="000000"/>
        </w:rPr>
        <w:t>УТВЕРЖДАЮ:</w:t>
      </w:r>
    </w:p>
    <w:p>
      <w:pPr>
        <w:pStyle w:val="Normal"/>
        <w:ind w:left="5103" w:hanging="0"/>
        <w:rPr/>
      </w:pPr>
      <w:r>
        <w:rPr>
          <w:color w:val="000000"/>
        </w:rPr>
        <w:t>Глава Придорожного</w:t>
      </w:r>
    </w:p>
    <w:p>
      <w:pPr>
        <w:pStyle w:val="Normal"/>
        <w:ind w:left="5103" w:hanging="0"/>
        <w:rPr>
          <w:color w:val="000000"/>
        </w:rPr>
      </w:pPr>
      <w:r>
        <w:rPr>
          <w:color w:val="000000"/>
        </w:rPr>
        <w:t xml:space="preserve">сельского поселения </w:t>
      </w:r>
    </w:p>
    <w:p>
      <w:pPr>
        <w:pStyle w:val="Normal"/>
        <w:ind w:left="5103" w:hanging="0"/>
        <w:rPr>
          <w:color w:val="000000"/>
        </w:rPr>
      </w:pPr>
      <w:r>
        <w:rPr>
          <w:color w:val="000000"/>
        </w:rPr>
        <w:t>Каневского района</w:t>
      </w:r>
    </w:p>
    <w:p>
      <w:pPr>
        <w:pStyle w:val="Normal"/>
        <w:ind w:left="5103" w:hanging="0"/>
        <w:rPr>
          <w:color w:val="000000"/>
        </w:rPr>
      </w:pPr>
      <w:r>
        <w:rPr>
          <w:color w:val="000000"/>
        </w:rPr>
      </w:r>
    </w:p>
    <w:p>
      <w:pPr>
        <w:pStyle w:val="Normal"/>
        <w:ind w:left="5103" w:hanging="0"/>
        <w:rPr/>
      </w:pPr>
      <w:r>
        <w:rPr>
          <w:color w:val="000000"/>
        </w:rPr>
        <w:t>_____________ М.Е.Авакьян</w:t>
      </w:r>
    </w:p>
    <w:p>
      <w:pPr>
        <w:pStyle w:val="Normal"/>
        <w:ind w:left="5103" w:hanging="0"/>
        <w:rPr>
          <w:color w:val="000000"/>
        </w:rPr>
      </w:pPr>
      <w:r>
        <w:rPr>
          <w:color w:val="000000"/>
        </w:rPr>
      </w:r>
    </w:p>
    <w:p>
      <w:pPr>
        <w:pStyle w:val="Normal"/>
        <w:ind w:left="5103" w:hanging="0"/>
        <w:rPr>
          <w:color w:val="000000"/>
        </w:rPr>
      </w:pPr>
      <w:r>
        <w:rPr>
          <w:color w:val="000000"/>
        </w:rPr>
        <w:t>«___» __________ 2023 года</w:t>
      </w:r>
    </w:p>
    <w:p>
      <w:pPr>
        <w:pStyle w:val="Normal"/>
        <w:jc w:val="center"/>
        <w:rPr/>
      </w:pPr>
      <w:r>
        <w:rPr>
          <w:b/>
          <w:sz w:val="22"/>
          <w:szCs w:val="22"/>
        </w:rPr>
        <w:t xml:space="preserve">         </w:t>
      </w:r>
      <w:r>
        <w:rPr>
          <w:sz w:val="22"/>
          <w:szCs w:val="22"/>
        </w:rPr>
        <w:t>М.П.</w:t>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sz w:val="22"/>
          <w:szCs w:val="22"/>
        </w:rPr>
      </w:pPr>
      <w:r>
        <w:rPr>
          <w:b/>
          <w:sz w:val="22"/>
          <w:szCs w:val="22"/>
        </w:rPr>
      </w:r>
    </w:p>
    <w:p>
      <w:pPr>
        <w:pStyle w:val="Normal"/>
        <w:jc w:val="center"/>
        <w:rPr>
          <w:b/>
          <w:b/>
        </w:rPr>
      </w:pPr>
      <w:r>
        <w:rPr>
          <w:b/>
        </w:rPr>
        <w:t>ИЗВЕЩЕНИЕ</w:t>
      </w:r>
    </w:p>
    <w:p>
      <w:pPr>
        <w:pStyle w:val="Normal"/>
        <w:jc w:val="center"/>
        <w:rPr>
          <w:b/>
          <w:b/>
        </w:rPr>
      </w:pPr>
      <w:r>
        <w:rPr>
          <w:b/>
        </w:rPr>
      </w:r>
    </w:p>
    <w:p>
      <w:pPr>
        <w:pStyle w:val="Normal"/>
        <w:ind w:firstLine="709"/>
        <w:jc w:val="center"/>
        <w:rPr/>
      </w:pPr>
      <w:r>
        <w:rPr>
          <w:b/>
          <w:sz w:val="28"/>
          <w:szCs w:val="28"/>
        </w:rPr>
        <w:t>Администрация Придорожного сельского поселения Каневского района сообщает о проведении аукциона в электронной форме по продаже земельных участков, находящихся в муниципальной собственности, расположенных на территории Придорожного сельского поселения Каневского района</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sz w:val="28"/>
          <w:szCs w:val="28"/>
        </w:rPr>
      </w:pPr>
      <w:r>
        <w:rPr>
          <w:b/>
          <w:color w:val="111111"/>
          <w:sz w:val="28"/>
          <w:szCs w:val="28"/>
        </w:rPr>
        <w:t>Лот №1.</w:t>
      </w:r>
      <w:r>
        <w:rPr>
          <w:color w:val="111111"/>
          <w:sz w:val="28"/>
          <w:szCs w:val="28"/>
        </w:rPr>
        <w:t xml:space="preserve"> </w:t>
      </w:r>
    </w:p>
    <w:p>
      <w:pPr>
        <w:pStyle w:val="Normal"/>
        <w:ind w:firstLine="709"/>
        <w:jc w:val="both"/>
        <w:rPr>
          <w:color w:val="111111"/>
        </w:rPr>
      </w:pPr>
      <w:r>
        <w:rPr>
          <w:b/>
          <w:color w:val="111111"/>
        </w:rPr>
        <w:t>Земельный участок с кадастровым номером 23:11:0802001:46, площадью 1100 кв.м, расположенный по адресу: Краснодарский край, Каневский район, сельское поселение Придорожное, ст. Придорожная, ул. Колхозная, 42.</w:t>
      </w:r>
    </w:p>
    <w:p>
      <w:pPr>
        <w:pStyle w:val="Normal"/>
        <w:ind w:firstLine="709"/>
        <w:jc w:val="both"/>
        <w:rPr>
          <w:bCs/>
          <w:color w:val="111111"/>
        </w:rPr>
      </w:pPr>
      <w:r>
        <w:rPr>
          <w:bCs/>
          <w:color w:val="111111"/>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
          <w:b/>
          <w:color w:val="FF0000"/>
          <w:sz w:val="28"/>
          <w:szCs w:val="28"/>
        </w:rPr>
      </w:pPr>
      <w:r>
        <w:rPr>
          <w:b/>
          <w:color w:val="FF0000"/>
          <w:sz w:val="28"/>
          <w:szCs w:val="28"/>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t>\</w:t>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ind w:firstLine="709"/>
        <w:jc w:val="both"/>
        <w:rPr>
          <w:bCs/>
        </w:rPr>
      </w:pPr>
      <w:r>
        <w:rPr>
          <w:bCs/>
        </w:rPr>
      </w:r>
    </w:p>
    <w:p>
      <w:pPr>
        <w:pStyle w:val="Normal"/>
        <w:spacing w:before="0" w:after="0"/>
        <w:ind w:firstLine="709"/>
        <w:contextualSpacing/>
        <w:jc w:val="center"/>
        <w:rPr/>
      </w:pPr>
      <w:r>
        <w:rPr>
          <w:sz w:val="28"/>
          <w:szCs w:val="28"/>
        </w:rPr>
        <w:t>Ст. Придорожная</w:t>
      </w:r>
    </w:p>
    <w:p>
      <w:pPr>
        <w:pStyle w:val="Normal"/>
        <w:spacing w:before="0" w:after="0"/>
        <w:ind w:firstLine="709"/>
        <w:contextualSpacing/>
        <w:jc w:val="center"/>
        <w:rPr>
          <w:sz w:val="28"/>
          <w:szCs w:val="28"/>
        </w:rPr>
      </w:pPr>
      <w:r>
        <w:rPr>
          <w:sz w:val="28"/>
          <w:szCs w:val="28"/>
        </w:rPr>
        <w:t>2023 г.</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numPr>
          <w:ilvl w:val="0"/>
          <w:numId w:val="2"/>
        </w:numPr>
        <w:jc w:val="center"/>
        <w:rPr>
          <w:b/>
          <w:b/>
          <w:bCs/>
        </w:rPr>
      </w:pPr>
      <w:r>
        <w:rPr>
          <w:b/>
          <w:bCs/>
        </w:rPr>
        <w:t>Основные понятия</w:t>
      </w:r>
    </w:p>
    <w:p>
      <w:pPr>
        <w:pStyle w:val="Default"/>
        <w:ind w:left="360" w:hanging="0"/>
        <w:rPr/>
      </w:pPr>
      <w:r>
        <w:rPr/>
      </w:r>
    </w:p>
    <w:p>
      <w:pPr>
        <w:pStyle w:val="Default"/>
        <w:ind w:firstLine="709"/>
        <w:jc w:val="both"/>
        <w:rPr/>
      </w:pPr>
      <w:r>
        <w:rPr>
          <w:b/>
        </w:rPr>
        <w:t>Электронная площадка «РТС-тендер» Имущественные торги</w:t>
      </w:r>
      <w:r>
        <w:rPr/>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информационнотелекоммуникационной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pPr>
        <w:pStyle w:val="Default"/>
        <w:ind w:firstLine="709"/>
        <w:jc w:val="both"/>
        <w:rPr/>
      </w:pPr>
      <w:r>
        <w:rPr>
          <w:b/>
        </w:rPr>
        <w:t>Оператор ЭП</w:t>
      </w:r>
      <w:r>
        <w:rPr/>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pPr>
        <w:pStyle w:val="Default"/>
        <w:ind w:firstLine="709"/>
        <w:jc w:val="both"/>
        <w:rPr/>
      </w:pPr>
      <w:r>
        <w:rPr>
          <w:b/>
        </w:rPr>
        <w:t>Организатор торговой процедуры</w:t>
      </w:r>
      <w:r>
        <w:rPr/>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pPr>
        <w:pStyle w:val="Default"/>
        <w:ind w:firstLine="709"/>
        <w:jc w:val="both"/>
        <w:rPr/>
      </w:pPr>
      <w:r>
        <w:rPr>
          <w:b/>
        </w:rPr>
        <w:t>Претендент</w:t>
      </w:r>
      <w:r>
        <w:rPr/>
        <w:t xml:space="preserve"> – Клиент ЭП, подавший заявку на участие в Торговой процедуре в порядке, предусмотренном Регламентом ЭП. </w:t>
      </w:r>
    </w:p>
    <w:p>
      <w:pPr>
        <w:pStyle w:val="Default"/>
        <w:ind w:firstLine="709"/>
        <w:jc w:val="both"/>
        <w:rPr/>
      </w:pPr>
      <w:r>
        <w:rPr>
          <w:b/>
        </w:rPr>
        <w:t>Пользователь ЭП (Пользователь)</w:t>
      </w:r>
      <w:r>
        <w:rPr/>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pPr>
        <w:pStyle w:val="Default"/>
        <w:ind w:firstLine="851"/>
        <w:jc w:val="both"/>
        <w:rPr/>
      </w:pPr>
      <w:r>
        <w:rPr>
          <w:b/>
          <w:bCs/>
        </w:rPr>
        <w:t xml:space="preserve">Регламент </w:t>
      </w:r>
      <w:r>
        <w:rPr/>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2">
        <w:r>
          <w:rPr>
            <w:rStyle w:val="Style15"/>
          </w:rPr>
          <w:t>https://www.rts-tender.ru/property-sales</w:t>
        </w:r>
      </w:hyperlink>
      <w:r>
        <w:rPr/>
        <w:t>.</w:t>
      </w:r>
    </w:p>
    <w:p>
      <w:pPr>
        <w:pStyle w:val="Default"/>
        <w:ind w:firstLine="851"/>
        <w:jc w:val="both"/>
        <w:rPr/>
      </w:pPr>
      <w:r>
        <w:rPr>
          <w:b/>
        </w:rPr>
        <w:t xml:space="preserve">Регистрация </w:t>
      </w:r>
      <w:r>
        <w:rPr/>
        <w:t xml:space="preserve">–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 ЭП. </w:t>
      </w:r>
    </w:p>
    <w:p>
      <w:pPr>
        <w:pStyle w:val="Default"/>
        <w:ind w:firstLine="851"/>
        <w:jc w:val="both"/>
        <w:rPr/>
      </w:pPr>
      <w:r>
        <w:rPr>
          <w:b/>
        </w:rPr>
        <w:t>Квалифицированный сертификат ключа проверки электронной подписи (Квалифицированный сертификат, КЭП)</w:t>
      </w:r>
      <w:r>
        <w:rPr/>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pPr>
        <w:pStyle w:val="Default"/>
        <w:ind w:firstLine="851"/>
        <w:jc w:val="both"/>
        <w:rPr/>
      </w:pPr>
      <w:r>
        <w:rPr>
          <w:b/>
        </w:rPr>
        <w:t>Клиент ЭП</w:t>
      </w:r>
      <w:r>
        <w:rPr/>
        <w:t xml:space="preserve"> - юридическое лицо или физическое лицо, в том числе индивидуальный предприниматель, зарегистрированное на ЭП в установленном Регламентом ЭП порядке, и которому предоставлен доступ в Личный кабинет.</w:t>
      </w:r>
    </w:p>
    <w:p>
      <w:pPr>
        <w:pStyle w:val="Default"/>
        <w:ind w:firstLine="851"/>
        <w:jc w:val="both"/>
        <w:rPr/>
      </w:pPr>
      <w:r>
        <w:rPr>
          <w:b/>
          <w:bCs/>
        </w:rPr>
        <w:t xml:space="preserve">Электронный документ </w:t>
      </w:r>
      <w:r>
        <w:rPr/>
        <w:t xml:space="preserve">– документ, информация в котором представлена в электронно-цифровой форме. </w:t>
      </w:r>
    </w:p>
    <w:p>
      <w:pPr>
        <w:pStyle w:val="Default"/>
        <w:ind w:firstLine="851"/>
        <w:jc w:val="both"/>
        <w:rPr/>
      </w:pPr>
      <w:r>
        <w:rPr>
          <w:b/>
          <w:bCs/>
        </w:rPr>
        <w:t xml:space="preserve">Электронный образ документа </w:t>
      </w:r>
      <w:r>
        <w:rPr/>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pPr>
        <w:pStyle w:val="Default"/>
        <w:ind w:firstLine="851"/>
        <w:jc w:val="both"/>
        <w:rPr/>
      </w:pPr>
      <w:r>
        <w:rPr>
          <w:b/>
          <w:bCs/>
        </w:rPr>
        <w:t xml:space="preserve">Электронный журнал </w:t>
      </w:r>
      <w:r>
        <w:rPr/>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pPr>
        <w:pStyle w:val="Default"/>
        <w:ind w:firstLine="709"/>
        <w:jc w:val="both"/>
        <w:rPr/>
      </w:pPr>
      <w:r>
        <w:rPr>
          <w:b/>
        </w:rPr>
        <w:t>Аналитический счет</w:t>
      </w:r>
      <w:r>
        <w:rPr/>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pPr>
        <w:pStyle w:val="Default"/>
        <w:ind w:firstLine="709"/>
        <w:jc w:val="both"/>
        <w:rPr/>
      </w:pPr>
      <w:r>
        <w:rPr>
          <w:b/>
        </w:rPr>
        <w:t>Задаток</w:t>
      </w:r>
      <w:r>
        <w:rPr/>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pPr>
        <w:pStyle w:val="Default"/>
        <w:ind w:firstLine="709"/>
        <w:jc w:val="both"/>
        <w:rPr/>
      </w:pPr>
      <w:r>
        <w:rPr>
          <w:b/>
        </w:rPr>
        <w:t>Личный кабинет Клиента ЭП (Личный кабинет)</w:t>
      </w:r>
      <w:r>
        <w:rPr/>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pPr>
        <w:pStyle w:val="Default"/>
        <w:ind w:firstLine="709"/>
        <w:jc w:val="both"/>
        <w:rPr/>
      </w:pPr>
      <w:r>
        <w:rPr>
          <w:b/>
        </w:rPr>
        <w:t>Соглашение о гарантийном обеспечении</w:t>
      </w:r>
      <w:r>
        <w:rPr/>
        <w:t xml:space="preserve"> - Соглашение о гарантийном обеспечении на электронной площадке «РТС-тендер» Имущественные торги, размещенное по адресу в информационнотелекоммуникационной сети «Интернет»: </w:t>
      </w:r>
      <w:hyperlink r:id="rId3">
        <w:r>
          <w:rPr>
            <w:rStyle w:val="Style15"/>
          </w:rPr>
          <w:t>https://www.rts-tender.ru/platform-rules/platform-property-sales</w:t>
        </w:r>
      </w:hyperlink>
      <w:r>
        <w:rPr/>
        <w:t xml:space="preserve">. </w:t>
      </w:r>
    </w:p>
    <w:p>
      <w:pPr>
        <w:pStyle w:val="Default"/>
        <w:ind w:firstLine="709"/>
        <w:jc w:val="both"/>
        <w:rPr/>
      </w:pPr>
      <w:r>
        <w:rPr>
          <w:b/>
        </w:rPr>
        <w:t>Торговая процедура</w:t>
      </w:r>
      <w:r>
        <w:rPr/>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pPr>
        <w:pStyle w:val="Default"/>
        <w:ind w:firstLine="709"/>
        <w:jc w:val="both"/>
        <w:rPr/>
      </w:pPr>
      <w:r>
        <w:rPr>
          <w:b/>
        </w:rPr>
        <w:t>Услуги Оператора ЭП (Услуги</w:t>
      </w:r>
      <w:r>
        <w:rPr/>
        <w:t xml:space="preserve">) – услуги по предоставлению удаленного доступа к функционалу ЭП через информационно-телекоммуникационную сеть «Интернет». </w:t>
      </w:r>
    </w:p>
    <w:p>
      <w:pPr>
        <w:pStyle w:val="Default"/>
        <w:ind w:firstLine="709"/>
        <w:jc w:val="both"/>
        <w:rPr/>
      </w:pPr>
      <w:r>
        <w:rPr>
          <w:b/>
        </w:rPr>
        <w:t>Участник Торговой процедуры</w:t>
      </w:r>
      <w:r>
        <w:rPr/>
        <w:t xml:space="preserve"> - Претендент, допущенный Организатором Торговой процедуры к участию в ней.</w:t>
      </w:r>
    </w:p>
    <w:p>
      <w:pPr>
        <w:pStyle w:val="Default"/>
        <w:ind w:firstLine="709"/>
        <w:jc w:val="both"/>
        <w:rPr/>
      </w:pPr>
      <w:r>
        <w:rPr>
          <w:b/>
          <w:bCs/>
        </w:rPr>
        <w:t xml:space="preserve">Заявка </w:t>
      </w:r>
      <w:r>
        <w:rPr/>
        <w:t xml:space="preserve">– комплект документов, представленный претендентом в срок и по форме, который установлен в Информационном сообщении (извещении). </w:t>
      </w:r>
    </w:p>
    <w:p>
      <w:pPr>
        <w:pStyle w:val="Default"/>
        <w:ind w:firstLine="709"/>
        <w:jc w:val="both"/>
        <w:rPr/>
      </w:pPr>
      <w:r>
        <w:rPr>
          <w:b/>
          <w:bCs/>
        </w:rPr>
        <w:t xml:space="preserve">Шаг аукциона </w:t>
      </w:r>
      <w:r>
        <w:rPr/>
        <w:t xml:space="preserve">– величина повышения цены первоначального предложения, установленная Продавцом в фиксированной сумме и не изменяющаяся в течение всей процедуры продажи имущества. </w:t>
      </w:r>
    </w:p>
    <w:p>
      <w:pPr>
        <w:pStyle w:val="Default"/>
        <w:ind w:firstLine="709"/>
        <w:jc w:val="both"/>
        <w:rPr/>
      </w:pPr>
      <w:r>
        <w:rPr>
          <w:b/>
          <w:bCs/>
        </w:rPr>
        <w:t xml:space="preserve">Победитель </w:t>
      </w:r>
      <w:r>
        <w:rPr/>
        <w:t xml:space="preserve">– участник, который подтвердил цену первоначального предложения или цену предложения, сложившуюся на соответствующем "шаге аукциона". </w:t>
      </w:r>
    </w:p>
    <w:p>
      <w:pPr>
        <w:pStyle w:val="Default"/>
        <w:ind w:firstLine="709"/>
        <w:jc w:val="both"/>
        <w:rPr/>
      </w:pPr>
      <w:r>
        <w:rPr>
          <w:b/>
          <w:bCs/>
        </w:rPr>
        <w:t xml:space="preserve">Информационное сообщение о проведении продажи имущества (Извещение)  </w:t>
      </w:r>
      <w:r>
        <w:rPr/>
        <w:t xml:space="preserve">(далее – Извещение) - настоящее информационное сообщение, содержащее сведения о предмете аукциона, условиях и порядке его проведения, условиях и сроках подписания договора купли-продажи, иных существенных условиях, включая проект договора купли-продажи и другие документы. </w:t>
      </w:r>
    </w:p>
    <w:p>
      <w:pPr>
        <w:pStyle w:val="Default"/>
        <w:ind w:firstLine="709"/>
        <w:jc w:val="both"/>
        <w:rPr/>
      </w:pPr>
      <w:r>
        <w:rPr>
          <w:b/>
          <w:bCs/>
        </w:rPr>
        <w:t xml:space="preserve">Предмет (объект) аукциона (продажи) </w:t>
      </w:r>
      <w:r>
        <w:rPr/>
        <w:t>– имущество, находящееся в собственности Придорожного сельского поселения Каневского района, реализуемое в ходе проведения торгов, право на которое передается по договору купли-продажи.</w:t>
      </w:r>
    </w:p>
    <w:p>
      <w:pPr>
        <w:pStyle w:val="ConsPlusNormal"/>
        <w:widowControl/>
        <w:spacing w:before="0" w:after="0"/>
        <w:ind w:firstLine="709"/>
        <w:contextualSpacing/>
        <w:jc w:val="both"/>
        <w:rPr>
          <w:rFonts w:ascii="Times New Roman" w:hAnsi="Times New Roman" w:cs="Times New Roman"/>
          <w:sz w:val="24"/>
          <w:szCs w:val="24"/>
        </w:rPr>
      </w:pPr>
      <w:r>
        <w:rPr>
          <w:rFonts w:cs="Times New Roman" w:ascii="Times New Roman" w:hAnsi="Times New Roman"/>
          <w:b/>
          <w:sz w:val="24"/>
          <w:szCs w:val="24"/>
        </w:rPr>
        <w:t>Реализация (продажа) земельных участков</w:t>
      </w:r>
      <w:r>
        <w:rPr>
          <w:rFonts w:cs="Times New Roman" w:ascii="Times New Roman" w:hAnsi="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Default"/>
        <w:jc w:val="center"/>
        <w:rPr>
          <w:b/>
          <w:b/>
          <w:bCs/>
        </w:rPr>
      </w:pPr>
      <w:r>
        <w:rPr>
          <w:b/>
          <w:bCs/>
        </w:rPr>
        <w:t>2. Правовое регулирование</w:t>
      </w:r>
    </w:p>
    <w:p>
      <w:pPr>
        <w:pStyle w:val="Default"/>
        <w:jc w:val="center"/>
        <w:rPr/>
      </w:pPr>
      <w:r>
        <w:rPr/>
      </w:r>
    </w:p>
    <w:p>
      <w:pPr>
        <w:pStyle w:val="Default"/>
        <w:ind w:firstLine="709"/>
        <w:jc w:val="both"/>
        <w:rPr/>
      </w:pPr>
      <w:r>
        <w:rPr/>
        <w:t>2.1. Продажа проводится в соответствии с Гражданским кодексом Российской Федерации,  Земельным Кодексом Российской Федерации от 25 октября 2001 года №136-ФЗ, регламентом ЭП.</w:t>
      </w:r>
    </w:p>
    <w:p>
      <w:pPr>
        <w:pStyle w:val="Default"/>
        <w:numPr>
          <w:ilvl w:val="0"/>
          <w:numId w:val="3"/>
        </w:numPr>
        <w:jc w:val="center"/>
        <w:rPr>
          <w:b/>
          <w:b/>
          <w:bCs/>
        </w:rPr>
      </w:pPr>
      <w:r>
        <w:rPr>
          <w:b/>
          <w:shd w:fill="FFFFFF" w:val="clear"/>
        </w:rPr>
        <w:t>Сведения об организаторе аукциона</w:t>
      </w:r>
    </w:p>
    <w:p>
      <w:pPr>
        <w:pStyle w:val="Default"/>
        <w:ind w:left="720" w:hanging="0"/>
        <w:rPr>
          <w:b/>
          <w:b/>
          <w:bCs/>
        </w:rPr>
      </w:pPr>
      <w:r>
        <w:rPr>
          <w:b/>
          <w:bCs/>
        </w:rPr>
      </w:r>
    </w:p>
    <w:p>
      <w:pPr>
        <w:pStyle w:val="Default"/>
        <w:ind w:firstLine="709"/>
        <w:jc w:val="both"/>
        <w:rPr/>
      </w:pPr>
      <w:r>
        <w:rPr>
          <w:b/>
          <w:bCs/>
        </w:rPr>
        <w:t>3.1. Продавец (о</w:t>
      </w:r>
      <w:r>
        <w:rPr>
          <w:b/>
        </w:rPr>
        <w:t>рганизатор торгов):</w:t>
      </w:r>
      <w:r>
        <w:rPr/>
        <w:t xml:space="preserve"> Администрация Придорожного сельского поселения Каневского района (далее – продавец).</w:t>
      </w:r>
    </w:p>
    <w:p>
      <w:pPr>
        <w:pStyle w:val="Normal"/>
        <w:spacing w:before="0" w:after="0"/>
        <w:ind w:firstLine="709"/>
        <w:contextualSpacing/>
        <w:jc w:val="both"/>
        <w:rPr/>
      </w:pPr>
      <w:r>
        <w:rPr/>
        <w:t>Место нахождения Продавца: 353711</w:t>
      </w:r>
      <w:r>
        <w:rPr>
          <w:rFonts w:eastAsia="Calibri"/>
        </w:rPr>
        <w:t>,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t>Почтовый адрес Продавца: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Красная, д.42</w:t>
      </w:r>
      <w:r>
        <w:rPr>
          <w:rFonts w:eastAsia="Calibri"/>
        </w:rPr>
        <w:t>.</w:t>
      </w:r>
    </w:p>
    <w:p>
      <w:pPr>
        <w:pStyle w:val="Normal"/>
        <w:spacing w:before="0" w:after="0"/>
        <w:ind w:firstLine="709"/>
        <w:contextualSpacing/>
        <w:jc w:val="both"/>
        <w:rPr/>
      </w:pPr>
      <w:r>
        <w:rPr>
          <w:color w:val="000000"/>
        </w:rPr>
        <w:t xml:space="preserve">Факс: 8 (86164) </w:t>
      </w:r>
      <w:r>
        <w:rPr>
          <w:rFonts w:eastAsia="Calibri"/>
          <w:color w:val="000000"/>
        </w:rPr>
        <w:t>38148</w:t>
      </w:r>
    </w:p>
    <w:p>
      <w:pPr>
        <w:pStyle w:val="Normal"/>
        <w:spacing w:before="0" w:after="0"/>
        <w:ind w:firstLine="709"/>
        <w:contextualSpacing/>
        <w:jc w:val="both"/>
        <w:rPr/>
      </w:pPr>
      <w:r>
        <w:rPr>
          <w:rFonts w:eastAsia="Calibri"/>
        </w:rPr>
        <w:t>Контрактное лицо: Момот Надежда Александровна, а</w:t>
      </w:r>
      <w:r>
        <w:rPr/>
        <w:t>дрес электронной почты:</w:t>
      </w:r>
      <w:r>
        <w:rPr>
          <w:b/>
          <w:bCs/>
        </w:rPr>
        <w:t> </w:t>
      </w:r>
      <w:r>
        <w:rPr>
          <w:b/>
          <w:bCs/>
          <w:color w:val="111111"/>
          <w:u w:val="single"/>
        </w:rPr>
        <w:t>fu25/167</w:t>
      </w:r>
      <w:hyperlink r:id="rId4">
        <w:r>
          <w:rPr>
            <w:rStyle w:val="Style15"/>
            <w:color w:val="111111"/>
            <w:highlight w:val="white"/>
            <w:u w:val="single"/>
            <w:lang w:val="en-US"/>
          </w:rPr>
          <w:t>@mail.ru</w:t>
        </w:r>
      </w:hyperlink>
      <w:r>
        <w:rPr>
          <w:color w:val="87898F"/>
          <w:shd w:fill="FFFFFF" w:val="clear"/>
        </w:rPr>
        <w:t xml:space="preserve">, </w:t>
      </w:r>
      <w:r>
        <w:rPr>
          <w:color w:val="000000"/>
          <w:shd w:fill="FFFFFF" w:val="clear"/>
        </w:rPr>
        <w:t>тел.</w:t>
      </w:r>
      <w:r>
        <w:rPr>
          <w:color w:val="87898F"/>
          <w:shd w:fill="FFFFFF" w:val="clear"/>
        </w:rPr>
        <w:t xml:space="preserve"> </w:t>
      </w:r>
      <w:r>
        <w:rPr>
          <w:color w:val="000000"/>
        </w:rPr>
        <w:t xml:space="preserve">8 (86164) </w:t>
      </w:r>
      <w:r>
        <w:rPr>
          <w:color w:val="000000"/>
          <w:lang w:val="en-US"/>
        </w:rPr>
        <w:t>38148</w:t>
      </w:r>
      <w:r>
        <w:rPr>
          <w:color w:val="000000"/>
        </w:rPr>
        <w:t>.</w:t>
      </w:r>
    </w:p>
    <w:p>
      <w:pPr>
        <w:pStyle w:val="Default"/>
        <w:ind w:left="720" w:hanging="0"/>
        <w:rPr>
          <w:b/>
          <w:b/>
          <w:bCs/>
        </w:rPr>
      </w:pPr>
      <w:r>
        <w:rPr>
          <w:b/>
          <w:bCs/>
        </w:rPr>
      </w:r>
    </w:p>
    <w:p>
      <w:pPr>
        <w:pStyle w:val="Default"/>
        <w:numPr>
          <w:ilvl w:val="0"/>
          <w:numId w:val="3"/>
        </w:numPr>
        <w:jc w:val="center"/>
        <w:rPr>
          <w:b/>
          <w:b/>
          <w:bCs/>
        </w:rPr>
      </w:pPr>
      <w:r>
        <w:rPr>
          <w:b/>
          <w:bCs/>
        </w:rPr>
        <w:t>Предмет аукциона</w:t>
      </w:r>
    </w:p>
    <w:p>
      <w:pPr>
        <w:pStyle w:val="Default"/>
        <w:ind w:left="720" w:hanging="0"/>
        <w:rPr>
          <w:b/>
          <w:b/>
          <w:bCs/>
        </w:rPr>
      </w:pPr>
      <w:r>
        <w:rPr>
          <w:b/>
          <w:bCs/>
        </w:rPr>
      </w:r>
    </w:p>
    <w:p>
      <w:pPr>
        <w:pStyle w:val="Normal"/>
        <w:ind w:firstLine="709"/>
        <w:jc w:val="both"/>
        <w:rPr>
          <w:sz w:val="28"/>
          <w:szCs w:val="28"/>
        </w:rPr>
      </w:pPr>
      <w:r>
        <w:rPr>
          <w:b/>
          <w:color w:val="0D0D0D" w:themeColor="text1" w:themeTint="f2"/>
        </w:rPr>
        <w:t>4.1.</w:t>
      </w:r>
      <w:r>
        <w:rPr>
          <w:b/>
          <w:color w:val="FF0000"/>
          <w:sz w:val="28"/>
          <w:szCs w:val="28"/>
        </w:rPr>
        <w:t xml:space="preserve"> </w:t>
      </w:r>
      <w:r>
        <w:rPr>
          <w:b/>
          <w:color w:val="111111"/>
          <w:sz w:val="28"/>
          <w:szCs w:val="28"/>
        </w:rPr>
        <w:t>Лот №1.</w:t>
      </w:r>
      <w:r>
        <w:rPr>
          <w:color w:val="111111"/>
          <w:sz w:val="28"/>
          <w:szCs w:val="28"/>
        </w:rPr>
        <w:t xml:space="preserve"> </w:t>
      </w:r>
    </w:p>
    <w:p>
      <w:pPr>
        <w:pStyle w:val="Normal"/>
        <w:ind w:firstLine="709"/>
        <w:jc w:val="both"/>
        <w:rPr/>
      </w:pPr>
      <w:r>
        <w:rPr>
          <w:b/>
          <w:color w:val="111111"/>
        </w:rPr>
        <w:t>Земельный участок с кадастровым номером 23:11:0802001:46, площадью 1100 кв.м, расположенный по адресу: Краснодарский край, Каневский район, сельское поселение Придорожное, ст. Придорожная, ул. Колхозная, 42.</w:t>
      </w:r>
    </w:p>
    <w:p>
      <w:pPr>
        <w:pStyle w:val="Default"/>
        <w:ind w:firstLine="709"/>
        <w:jc w:val="both"/>
        <w:rPr/>
      </w:pPr>
      <w:r>
        <w:rPr>
          <w:b/>
          <w:bCs/>
        </w:rPr>
        <w:t xml:space="preserve">Форма продажи – </w:t>
      </w:r>
      <w:r>
        <w:rPr/>
        <w:t xml:space="preserve">аукцион в электронной форме (далее – аукцион). </w:t>
      </w:r>
    </w:p>
    <w:p>
      <w:pPr>
        <w:pStyle w:val="Normal"/>
        <w:ind w:firstLine="720"/>
        <w:jc w:val="both"/>
        <w:rPr/>
      </w:pPr>
      <w:r>
        <w:rPr/>
        <w:t>Сведения о земельном  участке можно получить согласно онлайн-сервиса «Публичная кадастровая карта» (</w:t>
      </w:r>
      <w:hyperlink r:id="rId5">
        <w:r>
          <w:rPr>
            <w:rStyle w:val="Style15"/>
            <w:lang w:val="en-US"/>
          </w:rPr>
          <w:t>pkk</w:t>
        </w:r>
        <w:r>
          <w:rPr>
            <w:rStyle w:val="Style15"/>
          </w:rPr>
          <w:t>.</w:t>
        </w:r>
        <w:r>
          <w:rPr>
            <w:rStyle w:val="Style15"/>
            <w:lang w:val="en-US"/>
          </w:rPr>
          <w:t>rosreestr</w:t>
        </w:r>
        <w:r>
          <w:rPr>
            <w:rStyle w:val="Style15"/>
          </w:rPr>
          <w:t>.</w:t>
        </w:r>
        <w:r>
          <w:rPr>
            <w:rStyle w:val="Style15"/>
            <w:lang w:val="en-US"/>
          </w:rPr>
          <w:t>ru</w:t>
        </w:r>
      </w:hyperlink>
      <w:r>
        <w:rPr/>
        <w:t>).</w:t>
      </w:r>
    </w:p>
    <w:p>
      <w:pPr>
        <w:pStyle w:val="Default"/>
        <w:ind w:firstLine="720"/>
        <w:jc w:val="both"/>
        <w:rPr/>
      </w:pPr>
      <w:r>
        <w:rPr>
          <w:b/>
          <w:bCs/>
        </w:rPr>
        <w:t xml:space="preserve">Решение о проведении аукциона: </w:t>
      </w:r>
      <w:r>
        <w:rPr/>
        <w:t xml:space="preserve">Распоряжение администрации </w:t>
      </w:r>
      <w:r>
        <w:rPr>
          <w:lang w:val="ru-RU"/>
        </w:rPr>
        <w:t>Придорожн</w:t>
      </w:r>
      <w:r>
        <w:rPr/>
        <w:t>ого сельского поселения Каневского района от</w:t>
      </w:r>
      <w:r>
        <w:rPr>
          <w:color w:val="111111"/>
        </w:rPr>
        <w:t xml:space="preserve"> 29 мая 2023 года № 19-р </w:t>
      </w:r>
      <w:r>
        <w:rPr>
          <w:color w:val="FF0000"/>
        </w:rPr>
        <w:t xml:space="preserve"> </w:t>
      </w:r>
      <w:r>
        <w:rPr/>
        <w:t>«О проведении аукциона по продаже з</w:t>
      </w:r>
      <w:r>
        <w:rPr>
          <w:b w:val="false"/>
          <w:bCs w:val="false"/>
          <w:color w:val="111111"/>
        </w:rPr>
        <w:t>емельного участока с кадастровым номером 23:11:0802001:46, площадью 1100 кв.м, расположенного по адресу: Краснодарский край, Каневский район, сельское поселение Придорожное, ст. Придорожная, ул. Колхозная, 42</w:t>
      </w:r>
      <w:r>
        <w:rPr/>
        <w:t>».</w:t>
      </w:r>
    </w:p>
    <w:p>
      <w:pPr>
        <w:pStyle w:val="Normal"/>
        <w:ind w:firstLine="709"/>
        <w:jc w:val="both"/>
        <w:rPr/>
      </w:pPr>
      <w:r>
        <w:rPr>
          <w:b/>
          <w:bCs/>
        </w:rPr>
        <w:t xml:space="preserve">Местоположение земельного участка: </w:t>
      </w:r>
      <w:r>
        <w:rPr>
          <w:b/>
        </w:rPr>
        <w:t xml:space="preserve"> </w:t>
      </w:r>
      <w:r>
        <w:rPr>
          <w:b/>
          <w:color w:val="000000" w:themeColor="text1"/>
        </w:rPr>
        <w:t>Краснодарский край, Каневский район, сельское поселение Придорожное, ст. Придорожная, ул. Колхозная, 42.</w:t>
      </w:r>
    </w:p>
    <w:p>
      <w:pPr>
        <w:pStyle w:val="Normal"/>
        <w:ind w:firstLine="709"/>
        <w:jc w:val="both"/>
        <w:rPr/>
      </w:pPr>
      <w:r>
        <w:rPr/>
        <w:t xml:space="preserve">Кадастровый номер  </w:t>
      </w:r>
      <w:r>
        <w:rPr>
          <w:b w:val="false"/>
          <w:bCs w:val="false"/>
          <w:color w:val="111111"/>
        </w:rPr>
        <w:t>23:11:0802001:46</w:t>
      </w:r>
      <w:r>
        <w:rPr/>
        <w:t xml:space="preserve">, площадь 1100 кв.м. </w:t>
      </w:r>
    </w:p>
    <w:p>
      <w:pPr>
        <w:pStyle w:val="Normal"/>
        <w:ind w:firstLine="709"/>
        <w:jc w:val="both"/>
        <w:rPr>
          <w:bCs/>
        </w:rPr>
      </w:pPr>
      <w:r>
        <w:rPr/>
        <w:t xml:space="preserve">Категория земель: земли населенных пунктов. </w:t>
      </w:r>
      <w:r>
        <w:rPr>
          <w:bCs/>
        </w:rPr>
        <w:t xml:space="preserve">Ограничения (обременения) в использовании: не зарегистрировано. </w:t>
      </w:r>
    </w:p>
    <w:p>
      <w:pPr>
        <w:pStyle w:val="NormalWeb"/>
        <w:spacing w:beforeAutospacing="0" w:before="0" w:afterAutospacing="0" w:after="0"/>
        <w:ind w:firstLine="709"/>
        <w:contextualSpacing/>
        <w:jc w:val="both"/>
        <w:rPr/>
      </w:pPr>
      <w:r>
        <w:rPr>
          <w:bCs/>
        </w:rPr>
        <w:t xml:space="preserve">Правообладатель: Муниципальное образование Придорожного сельского поселения Каневского района. </w:t>
      </w:r>
    </w:p>
    <w:p>
      <w:pPr>
        <w:pStyle w:val="Normal"/>
        <w:spacing w:before="0" w:after="0"/>
        <w:ind w:firstLine="709"/>
        <w:contextualSpacing/>
        <w:jc w:val="both"/>
        <w:rPr/>
      </w:pPr>
      <w:r>
        <w:rPr>
          <w:b/>
        </w:rPr>
        <w:t xml:space="preserve">Начальная цена: </w:t>
      </w:r>
      <w:r>
        <w:rPr>
          <w:b/>
          <w:color w:val="111111"/>
        </w:rPr>
        <w:t>150 975,00 (сто пятьдесят тысяч девятьсот семьдесят пять) рублей 00 коп</w:t>
      </w:r>
      <w:r>
        <w:rPr>
          <w:color w:val="111111"/>
        </w:rPr>
        <w:t>.</w:t>
      </w:r>
      <w:r>
        <w:rPr>
          <w:color w:val="111111"/>
          <w:shd w:fill="FFFFFF" w:val="clear"/>
        </w:rPr>
        <w:t>,</w:t>
      </w:r>
      <w:r>
        <w:rPr>
          <w:color w:val="000000"/>
          <w:shd w:fill="FFFFFF" w:val="clear"/>
        </w:rPr>
        <w:t xml:space="preserve"> </w:t>
      </w:r>
      <w:r>
        <w:rPr/>
        <w:t xml:space="preserve">в соответствии с Федеральным </w:t>
      </w:r>
      <w:hyperlink r:id="rId6">
        <w:r>
          <w:rPr>
            <w:rStyle w:val="ListLabel6"/>
            <w:color w:val="000000"/>
          </w:rPr>
          <w:t>законом</w:t>
        </w:r>
      </w:hyperlink>
      <w:r>
        <w:rPr/>
        <w:t xml:space="preserve"> от 29 июля 1998 года № 135-ФЗ "Об оценочной деятельности в Российской Федерации", НДС не облагается.</w:t>
      </w:r>
    </w:p>
    <w:p>
      <w:pPr>
        <w:pStyle w:val="Normal"/>
        <w:ind w:firstLine="709"/>
        <w:jc w:val="both"/>
        <w:rPr/>
      </w:pPr>
      <w:r>
        <w:rPr>
          <w:b/>
        </w:rPr>
        <w:t xml:space="preserve">Шаг аукциона </w:t>
      </w:r>
      <w:r>
        <w:rPr/>
        <w:t xml:space="preserve">(3% от начальной цены):  </w:t>
      </w:r>
      <w:r>
        <w:rPr>
          <w:b/>
          <w:bCs/>
        </w:rPr>
        <w:t>4529,25</w:t>
      </w:r>
      <w:r>
        <w:rPr>
          <w:b/>
          <w:color w:val="FF0000"/>
        </w:rPr>
        <w:t xml:space="preserve"> </w:t>
      </w:r>
      <w:r>
        <w:rPr>
          <w:b/>
          <w:color w:val="111111"/>
        </w:rPr>
        <w:t>(четыре тысячи двадцать девять рублей 25 копеек).</w:t>
      </w:r>
    </w:p>
    <w:p>
      <w:pPr>
        <w:pStyle w:val="Normal"/>
        <w:spacing w:before="0" w:after="0"/>
        <w:ind w:firstLine="709"/>
        <w:contextualSpacing/>
        <w:jc w:val="both"/>
        <w:rPr/>
      </w:pPr>
      <w:r>
        <w:rPr>
          <w:b/>
        </w:rPr>
        <w:t>Размер задатка (</w:t>
      </w:r>
      <w:r>
        <w:rPr/>
        <w:t>5% от начальной цены):</w:t>
      </w:r>
      <w:r>
        <w:rPr>
          <w:b/>
        </w:rPr>
        <w:t xml:space="preserve"> – 7548,75</w:t>
      </w:r>
      <w:r>
        <w:rPr>
          <w:b/>
          <w:color w:val="111111"/>
        </w:rPr>
        <w:t xml:space="preserve"> (семь тысяч пятьсот сорок восемь рублей 75 копеек). </w:t>
      </w:r>
    </w:p>
    <w:p>
      <w:pPr>
        <w:pStyle w:val="ConsPlusNormal"/>
        <w:tabs>
          <w:tab w:val="clear" w:pos="708"/>
          <w:tab w:val="left" w:pos="3930" w:leader="none"/>
        </w:tabs>
        <w:spacing w:before="0" w:after="0"/>
        <w:ind w:firstLine="709"/>
        <w:contextualSpacing/>
        <w:jc w:val="both"/>
        <w:rPr>
          <w:sz w:val="24"/>
          <w:szCs w:val="24"/>
        </w:rPr>
      </w:pPr>
      <w:r>
        <w:rPr>
          <w:rFonts w:cs="Times New Roman" w:ascii="Times New Roman" w:hAnsi="Times New Roman"/>
          <w:b/>
          <w:sz w:val="24"/>
          <w:szCs w:val="24"/>
        </w:rPr>
        <w:t>Информация о параметрах разрешенного строительства объекта капитального строительства:</w:t>
      </w:r>
      <w:r>
        <w:rPr>
          <w:rFonts w:cs="Times New Roman" w:ascii="Times New Roman" w:hAnsi="Times New Roman"/>
          <w:sz w:val="24"/>
          <w:szCs w:val="24"/>
        </w:rPr>
        <w:t xml:space="preserve"> </w:t>
      </w:r>
    </w:p>
    <w:p>
      <w:pPr>
        <w:pStyle w:val="Normal"/>
        <w:keepLines/>
        <w:suppressAutoHyphens w:val="true"/>
        <w:overflowPunct w:val="true"/>
        <w:jc w:val="both"/>
        <w:textAlignment w:val="baseline"/>
        <w:rPr/>
      </w:pPr>
      <w:r>
        <w:rPr/>
        <w:t xml:space="preserve">Максимальное количество надземных этажей зданий – 3 этажа (или 2 этажа с возможностью использования дополнительно мансардного этажа) </w:t>
      </w:r>
    </w:p>
    <w:p>
      <w:pPr>
        <w:pStyle w:val="Normal"/>
        <w:rPr/>
      </w:pPr>
      <w:r>
        <w:rPr/>
        <w:t xml:space="preserve">Максимальная высота зданий - 20 м </w:t>
      </w:r>
    </w:p>
    <w:p>
      <w:pPr>
        <w:pStyle w:val="Normal"/>
        <w:rPr/>
      </w:pPr>
      <w:r>
        <w:rPr/>
        <w:t>Максимальный процент застройки участка - 40%</w:t>
      </w:r>
    </w:p>
    <w:p>
      <w:pPr>
        <w:pStyle w:val="Normal"/>
        <w:jc w:val="both"/>
        <w:rPr/>
      </w:pPr>
      <w:r>
        <w:rPr/>
        <w:t xml:space="preserve">Минимальный отступ строений от красной линии (если не установлены красные линии - от фасадной границы участка) - 3 м </w:t>
      </w:r>
    </w:p>
    <w:p>
      <w:pPr>
        <w:pStyle w:val="Normal"/>
        <w:keepLines/>
        <w:suppressAutoHyphens w:val="true"/>
        <w:overflowPunct w:val="true"/>
        <w:jc w:val="both"/>
        <w:textAlignment w:val="baseline"/>
        <w:rPr/>
      </w:pPr>
      <w:r>
        <w:rPr/>
        <w:t>Минимальный отступ от жилого дома до границ соседнего участка - 3 м (за исключением блокированной жилой застройки), от других построек - 1 м</w:t>
      </w:r>
    </w:p>
    <w:p>
      <w:pPr>
        <w:pStyle w:val="Normal"/>
        <w:ind w:firstLine="708"/>
        <w:jc w:val="both"/>
        <w:rPr>
          <w:b/>
          <w:b/>
          <w:bCs/>
        </w:rPr>
      </w:pPr>
      <w:r>
        <w:rPr>
          <w:b/>
          <w:color w:val="000000"/>
          <w:shd w:fill="FFFFFF" w:val="clear"/>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Pr>
          <w:b/>
          <w:bCs/>
        </w:rPr>
        <w:t>.</w:t>
      </w:r>
    </w:p>
    <w:p>
      <w:pPr>
        <w:pStyle w:val="Normal"/>
        <w:ind w:firstLine="708"/>
        <w:jc w:val="both"/>
        <w:rPr/>
      </w:pPr>
      <w:r>
        <w:rPr/>
        <w:t xml:space="preserve">Согласно информации от </w:t>
      </w:r>
      <w:r>
        <w:rPr>
          <w:color w:val="000000"/>
        </w:rPr>
        <w:t xml:space="preserve">23 мая 2023 </w:t>
      </w:r>
      <w:r>
        <w:rPr/>
        <w:t>года №</w:t>
      </w:r>
      <w:r>
        <w:rPr>
          <w:color w:val="000000"/>
        </w:rPr>
        <w:t>33-16-10-41/502,</w:t>
      </w:r>
      <w:r>
        <w:rPr/>
        <w:t xml:space="preserve"> выданной АО «Газпром газораспределение Краснодар»: техническая возможность подключения к сети газораспределения рассматриваемого объекта капитального строительства имеется в пределах максимальной нагрузки 7,0 метров кубических в час от существующего распределительного газопровода низкого давления Ду 80 мм, расположенного по ул. Колхозной. </w:t>
      </w:r>
    </w:p>
    <w:p>
      <w:pPr>
        <w:pStyle w:val="Normal"/>
        <w:ind w:firstLine="708"/>
        <w:jc w:val="both"/>
        <w:rPr/>
      </w:pPr>
      <w:r>
        <w:rPr/>
        <w:t xml:space="preserve">Согласно информации от </w:t>
      </w:r>
      <w:r>
        <w:rPr>
          <w:color w:val="111111"/>
        </w:rPr>
        <w:t>22 мая 2023 года №626</w:t>
      </w:r>
      <w:r>
        <w:rPr/>
        <w:t xml:space="preserve">, выданной ОАО «Жилищно-коммунальные услуги» на водоснабжение: </w:t>
      </w:r>
    </w:p>
    <w:p>
      <w:pPr>
        <w:pStyle w:val="ListParagraph"/>
        <w:numPr>
          <w:ilvl w:val="0"/>
          <w:numId w:val="1"/>
        </w:numPr>
        <w:jc w:val="both"/>
        <w:rPr/>
      </w:pPr>
      <w:bookmarkStart w:id="0" w:name="__DdeLink__369_874281723"/>
      <w:r>
        <w:rPr/>
        <w:t>нагрузка в точке подключения — 0,5 м3/сут, на хозяйственно-бытовые нужды;</w:t>
      </w:r>
      <w:bookmarkEnd w:id="0"/>
    </w:p>
    <w:p>
      <w:pPr>
        <w:pStyle w:val="NormalWeb"/>
        <w:spacing w:beforeAutospacing="0" w:before="0" w:afterAutospacing="0" w:after="0"/>
        <w:ind w:firstLine="708"/>
        <w:contextualSpacing/>
        <w:jc w:val="both"/>
        <w:rPr/>
      </w:pPr>
      <w:r>
        <w:rPr/>
        <w:t>Согласно информации от 2</w:t>
      </w:r>
      <w:r>
        <w:rPr>
          <w:color w:val="000000"/>
        </w:rPr>
        <w:t xml:space="preserve">5 мая 2023 года №257 </w:t>
      </w:r>
      <w:r>
        <w:rPr/>
        <w:t xml:space="preserve">выданной МУП «Каневские тепловые сети»: отсутствует возможность технического подключения. </w:t>
      </w:r>
    </w:p>
    <w:p>
      <w:pPr>
        <w:pStyle w:val="Normal"/>
        <w:ind w:firstLine="720"/>
        <w:jc w:val="both"/>
        <w:rPr/>
      </w:pPr>
      <w:r>
        <w:rPr/>
        <w:t>Скан-копии технических условий являются приложением к извещению.</w:t>
      </w:r>
    </w:p>
    <w:p>
      <w:pPr>
        <w:pStyle w:val="Normal"/>
        <w:ind w:firstLine="720"/>
        <w:jc w:val="both"/>
        <w:rPr/>
      </w:pPr>
      <w:r>
        <w:rPr/>
        <w:t>Информация об обязательствах по сносу здания, сооружения, объекта незавершенного строительства, которые расположены на земельном участке: не установлено.</w:t>
      </w:r>
    </w:p>
    <w:p>
      <w:pPr>
        <w:pStyle w:val="Normal"/>
        <w:ind w:firstLine="720"/>
        <w:jc w:val="both"/>
        <w:rPr/>
      </w:pPr>
      <w:r>
        <w:rPr/>
        <w:t xml:space="preserve">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не установлено. </w:t>
      </w:r>
    </w:p>
    <w:p>
      <w:pPr>
        <w:pStyle w:val="Normal"/>
        <w:ind w:firstLine="720"/>
        <w:jc w:val="both"/>
        <w:rPr/>
      </w:pPr>
      <w:r>
        <w:rPr/>
      </w:r>
    </w:p>
    <w:p>
      <w:pPr>
        <w:pStyle w:val="Normal"/>
        <w:numPr>
          <w:ilvl w:val="0"/>
          <w:numId w:val="3"/>
        </w:numPr>
        <w:suppressAutoHyphens w:val="true"/>
        <w:spacing w:before="0" w:after="0"/>
        <w:contextualSpacing/>
        <w:jc w:val="center"/>
        <w:rPr>
          <w:b/>
          <w:b/>
        </w:rPr>
      </w:pPr>
      <w:r>
        <w:rPr>
          <w:b/>
        </w:rPr>
        <w:t xml:space="preserve">Место и срок подачи заявок, определения участников,  </w:t>
      </w:r>
    </w:p>
    <w:p>
      <w:pPr>
        <w:pStyle w:val="Normal"/>
        <w:spacing w:before="0" w:after="0"/>
        <w:ind w:firstLine="709"/>
        <w:contextualSpacing/>
        <w:jc w:val="center"/>
        <w:rPr>
          <w:b/>
          <w:b/>
        </w:rPr>
      </w:pPr>
      <w:r>
        <w:rPr>
          <w:b/>
        </w:rPr>
        <w:t>проведение аукциона и подведение его итогов</w:t>
      </w:r>
    </w:p>
    <w:p>
      <w:pPr>
        <w:pStyle w:val="Normal"/>
        <w:spacing w:before="0" w:after="0"/>
        <w:ind w:firstLine="709"/>
        <w:contextualSpacing/>
        <w:jc w:val="center"/>
        <w:rPr>
          <w:b/>
          <w:b/>
        </w:rPr>
      </w:pPr>
      <w:r>
        <w:rPr>
          <w:b/>
        </w:rPr>
      </w:r>
    </w:p>
    <w:p>
      <w:pPr>
        <w:pStyle w:val="Normal"/>
        <w:spacing w:before="0" w:after="0"/>
        <w:ind w:firstLine="709"/>
        <w:contextualSpacing/>
        <w:jc w:val="both"/>
        <w:rPr/>
      </w:pPr>
      <w:r>
        <w:rPr>
          <w:b/>
          <w:bCs/>
        </w:rPr>
        <w:t xml:space="preserve">5.1. Оператор: </w:t>
      </w:r>
      <w:r>
        <w:rPr/>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7">
        <w:r>
          <w:rPr>
            <w:rStyle w:val="Style15"/>
          </w:rPr>
          <w:t>https://www.rts-tender.ru/</w:t>
        </w:r>
      </w:hyperlink>
      <w:r>
        <w:rPr/>
        <w:t>.</w:t>
      </w:r>
    </w:p>
    <w:p>
      <w:pPr>
        <w:pStyle w:val="Default"/>
        <w:ind w:firstLine="709"/>
        <w:jc w:val="both"/>
        <w:rPr>
          <w:b/>
          <w:b/>
          <w:bCs/>
        </w:rPr>
      </w:pPr>
      <w:r>
        <w:rPr>
          <w:b/>
          <w:bCs/>
        </w:rPr>
      </w:r>
    </w:p>
    <w:p>
      <w:pPr>
        <w:pStyle w:val="Default"/>
        <w:ind w:firstLine="709"/>
        <w:jc w:val="both"/>
        <w:rPr/>
      </w:pPr>
      <w:r>
        <w:rPr>
          <w:b/>
          <w:bCs/>
        </w:rPr>
        <w:t>5.2. Место приема заявок:</w:t>
      </w:r>
      <w:r>
        <w:rPr/>
        <w:t xml:space="preserve"> </w:t>
      </w:r>
      <w:r>
        <w:rPr>
          <w:bCs/>
        </w:rPr>
        <w:t xml:space="preserve">ЭП «РТС-тендер» Имущественные торги» </w:t>
      </w:r>
      <w:r>
        <w:rPr/>
        <w:t xml:space="preserve">https://www.rts-tender.ru/ (время сервера электронной площадки – московское). Подача Заявок осуществляется круглосуточно. </w:t>
      </w:r>
    </w:p>
    <w:p>
      <w:pPr>
        <w:pStyle w:val="Default"/>
        <w:ind w:firstLine="709"/>
        <w:rPr/>
      </w:pPr>
      <w:r>
        <w:rPr>
          <w:b/>
        </w:rPr>
        <w:t>5.3. Дата и время начала приема заявок:</w:t>
      </w:r>
      <w:r>
        <w:rPr>
          <w:b/>
          <w:color w:val="111111"/>
        </w:rPr>
        <w:t xml:space="preserve"> </w:t>
      </w:r>
      <w:r>
        <w:rPr>
          <w:b/>
          <w:color w:val="111111"/>
        </w:rPr>
        <w:t>30</w:t>
      </w:r>
      <w:r>
        <w:rPr>
          <w:b/>
          <w:color w:val="111111"/>
        </w:rPr>
        <w:t xml:space="preserve"> мая  2023 г. 17 ч. 00 мин. мск.</w:t>
      </w:r>
      <w:r>
        <w:rPr>
          <w:color w:val="111111"/>
        </w:rPr>
        <w:t xml:space="preserve"> </w:t>
      </w:r>
    </w:p>
    <w:p>
      <w:pPr>
        <w:pStyle w:val="Normal"/>
        <w:spacing w:before="0" w:after="0"/>
        <w:ind w:firstLine="709"/>
        <w:contextualSpacing/>
        <w:jc w:val="both"/>
        <w:rPr>
          <w:color w:val="111111"/>
        </w:rPr>
      </w:pPr>
      <w:r>
        <w:rPr>
          <w:b/>
          <w:color w:val="111111"/>
        </w:rPr>
        <w:t>5.4. Дата и время окончания приема заявок: 29 июня 2023 г.  10 ч. 00 мин. мск.</w:t>
      </w:r>
    </w:p>
    <w:p>
      <w:pPr>
        <w:pStyle w:val="Normal"/>
        <w:spacing w:before="0" w:after="0"/>
        <w:ind w:firstLine="709"/>
        <w:contextualSpacing/>
        <w:jc w:val="both"/>
        <w:rPr>
          <w:color w:val="111111"/>
        </w:rPr>
      </w:pPr>
      <w:r>
        <w:rPr>
          <w:b/>
          <w:color w:val="111111"/>
        </w:rPr>
        <w:t>5.5. Дата определения Участников: 29 июня 2023 г.</w:t>
      </w:r>
    </w:p>
    <w:p>
      <w:pPr>
        <w:pStyle w:val="Default"/>
        <w:ind w:firstLine="709"/>
        <w:jc w:val="both"/>
        <w:rPr>
          <w:color w:val="111111"/>
        </w:rPr>
      </w:pPr>
      <w:r>
        <w:rPr>
          <w:b/>
          <w:color w:val="111111"/>
        </w:rPr>
        <w:t>5.6. Дата и время аукциона</w:t>
      </w:r>
      <w:r>
        <w:rPr>
          <w:color w:val="111111"/>
        </w:rPr>
        <w:t>:</w:t>
      </w:r>
      <w:r>
        <w:rPr>
          <w:b/>
          <w:color w:val="111111"/>
        </w:rPr>
        <w:t xml:space="preserve"> 30 июня 2023 г. 10:00 мск</w:t>
      </w:r>
      <w:r>
        <w:rPr>
          <w:color w:val="111111"/>
        </w:rPr>
        <w:t xml:space="preserve">. </w:t>
      </w:r>
    </w:p>
    <w:p>
      <w:pPr>
        <w:pStyle w:val="211"/>
        <w:ind w:firstLine="709"/>
        <w:rPr>
          <w:sz w:val="24"/>
          <w:szCs w:val="24"/>
        </w:rPr>
      </w:pPr>
      <w:r>
        <w:rPr>
          <w:b/>
          <w:color w:val="111111"/>
          <w:sz w:val="24"/>
          <w:szCs w:val="24"/>
        </w:rPr>
        <w:t>5.7. Место проведение аукциона и подведения итогов:</w:t>
      </w:r>
      <w:r>
        <w:rPr>
          <w:color w:val="111111"/>
          <w:sz w:val="24"/>
          <w:szCs w:val="24"/>
        </w:rPr>
        <w:t xml:space="preserve"> </w:t>
      </w:r>
      <w:r>
        <w:rPr>
          <w:rFonts w:eastAsia="Calibri"/>
          <w:color w:val="111111"/>
          <w:sz w:val="24"/>
          <w:szCs w:val="24"/>
          <w:lang w:eastAsia="en-US"/>
        </w:rPr>
        <w:t>эле</w:t>
      </w:r>
      <w:r>
        <w:rPr>
          <w:rFonts w:eastAsia="Calibri"/>
          <w:color w:val="000000"/>
          <w:sz w:val="24"/>
          <w:szCs w:val="24"/>
          <w:lang w:eastAsia="en-US"/>
        </w:rPr>
        <w:t xml:space="preserve">ктронная площадка </w:t>
      </w:r>
      <w:r>
        <w:rPr>
          <w:bCs/>
          <w:sz w:val="24"/>
          <w:szCs w:val="24"/>
          <w:lang w:eastAsia="ru-RU"/>
        </w:rPr>
        <w:t>«РТС-тендер» Имущественные торги»</w:t>
      </w:r>
      <w:r>
        <w:rPr>
          <w:color w:val="000000"/>
          <w:sz w:val="24"/>
          <w:szCs w:val="24"/>
        </w:rPr>
        <w:t>. П</w:t>
      </w:r>
      <w:r>
        <w:rPr>
          <w:sz w:val="24"/>
          <w:szCs w:val="24"/>
        </w:rPr>
        <w:t>роцедура продажи считается завершенной со времени подписания продавцом протокола об итогах аукциона.</w:t>
      </w:r>
    </w:p>
    <w:p>
      <w:pPr>
        <w:pStyle w:val="Normal"/>
        <w:tabs>
          <w:tab w:val="clear" w:pos="708"/>
          <w:tab w:val="left" w:pos="709" w:leader="none"/>
        </w:tabs>
        <w:ind w:right="59" w:firstLine="709"/>
        <w:jc w:val="both"/>
        <w:rPr>
          <w:color w:val="000000"/>
        </w:rPr>
      </w:pPr>
      <w:r>
        <w:rPr>
          <w:color w:val="000000"/>
        </w:rPr>
      </w:r>
    </w:p>
    <w:p>
      <w:pPr>
        <w:pStyle w:val="Normal"/>
        <w:widowControl w:val="false"/>
        <w:numPr>
          <w:ilvl w:val="0"/>
          <w:numId w:val="3"/>
        </w:numPr>
        <w:suppressAutoHyphens w:val="true"/>
        <w:spacing w:before="0" w:after="60"/>
        <w:contextualSpacing/>
        <w:jc w:val="center"/>
        <w:rPr>
          <w:b/>
          <w:b/>
        </w:rPr>
      </w:pPr>
      <w:r>
        <w:rPr>
          <w:b/>
        </w:rPr>
        <w:t>Порядок регистрации на электронной площадке</w:t>
      </w:r>
    </w:p>
    <w:p>
      <w:pPr>
        <w:pStyle w:val="Normal"/>
        <w:widowControl w:val="false"/>
        <w:spacing w:before="0" w:after="60"/>
        <w:ind w:left="720" w:hanging="0"/>
        <w:contextualSpacing/>
        <w:rPr>
          <w:b/>
          <w:b/>
        </w:rPr>
      </w:pPr>
      <w:r>
        <w:rPr>
          <w:b/>
        </w:rPr>
      </w:r>
    </w:p>
    <w:p>
      <w:pPr>
        <w:pStyle w:val="Default"/>
        <w:ind w:firstLine="709"/>
        <w:jc w:val="both"/>
        <w:rPr/>
      </w:pPr>
      <w:r>
        <w:rPr/>
        <w:t xml:space="preserve">6.1. Для обеспечения доступа к участию в аукционе Претендентам необходимо пройти процедуру регистрации в соответствии с Регламентом ЭП на официальном сайте в информационно-телекоммуникационной сети «Интернет» по адресу: </w:t>
      </w:r>
      <w:hyperlink r:id="rId8">
        <w:r>
          <w:rPr>
            <w:rStyle w:val="Style15"/>
          </w:rPr>
          <w:t>https://www.rts-tender.ru/property-sales</w:t>
        </w:r>
      </w:hyperlink>
      <w:r>
        <w:rPr/>
        <w:t xml:space="preserve">. </w:t>
      </w:r>
    </w:p>
    <w:p>
      <w:pPr>
        <w:pStyle w:val="Default"/>
        <w:ind w:firstLine="709"/>
        <w:jc w:val="both"/>
        <w:rPr/>
      </w:pPr>
      <w:r>
        <w:rPr/>
        <w:t xml:space="preserve">6.2. Регистрация на ЭП проводится в соответствии с Регламентом ЭП, без взимания платы. </w:t>
      </w:r>
    </w:p>
    <w:p>
      <w:pPr>
        <w:pStyle w:val="Default"/>
        <w:ind w:firstLine="709"/>
        <w:jc w:val="both"/>
        <w:rPr/>
      </w:pPr>
      <w:r>
        <w:rPr/>
        <w:t xml:space="preserve">6.3. Регистрации на ЭП подлежат Претенденты, ранее не зарегистрированные на ЭП или регистрация которых, на ЭП была ими прекращена. </w:t>
      </w:r>
    </w:p>
    <w:p>
      <w:pPr>
        <w:pStyle w:val="BodyTextIndent3"/>
        <w:numPr>
          <w:ilvl w:val="0"/>
          <w:numId w:val="0"/>
        </w:numPr>
        <w:tabs>
          <w:tab w:val="clear" w:pos="708"/>
          <w:tab w:val="left" w:pos="540" w:leader="none"/>
        </w:tabs>
        <w:spacing w:before="0" w:after="0"/>
        <w:ind w:left="0" w:firstLine="709"/>
        <w:contextualSpacing/>
        <w:jc w:val="center"/>
        <w:outlineLvl w:val="0"/>
        <w:rPr>
          <w:b/>
          <w:b/>
          <w:sz w:val="24"/>
          <w:szCs w:val="24"/>
        </w:rPr>
      </w:pPr>
      <w:r>
        <w:rPr>
          <w:b/>
          <w:sz w:val="24"/>
          <w:szCs w:val="24"/>
        </w:rPr>
      </w:r>
    </w:p>
    <w:p>
      <w:pPr>
        <w:pStyle w:val="ListParagraph"/>
        <w:numPr>
          <w:ilvl w:val="0"/>
          <w:numId w:val="3"/>
        </w:numPr>
        <w:spacing w:lineRule="atLeast" w:line="200"/>
        <w:jc w:val="center"/>
        <w:rPr>
          <w:rFonts w:cs="Calibri"/>
        </w:rPr>
      </w:pPr>
      <w:r>
        <w:rPr>
          <w:rFonts w:cs="Calibri"/>
          <w:b/>
          <w:bCs/>
        </w:rPr>
        <w:t>Требования к участникам аукциона</w:t>
      </w:r>
    </w:p>
    <w:p>
      <w:pPr>
        <w:pStyle w:val="ListParagraph"/>
        <w:spacing w:lineRule="atLeast" w:line="200"/>
        <w:ind w:left="0" w:firstLine="567"/>
        <w:jc w:val="both"/>
        <w:rPr>
          <w:color w:val="000000"/>
          <w:highlight w:val="white"/>
        </w:rPr>
      </w:pPr>
      <w:r>
        <w:rPr>
          <w:color w:val="000000"/>
          <w:highlight w:val="white"/>
        </w:rPr>
      </w:r>
    </w:p>
    <w:p>
      <w:pPr>
        <w:pStyle w:val="ListParagraph"/>
        <w:spacing w:lineRule="atLeast" w:line="200"/>
        <w:ind w:left="0" w:firstLine="567"/>
        <w:jc w:val="both"/>
        <w:rPr/>
      </w:pPr>
      <w:r>
        <w:rPr>
          <w:color w:val="000000"/>
          <w:shd w:fill="FFFFFF" w:val="clear"/>
        </w:rPr>
        <w:t xml:space="preserve">7.1. Аукцион является открытым по составу участников. </w:t>
      </w:r>
      <w:r>
        <w:rPr/>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pPr>
        <w:pStyle w:val="Default"/>
        <w:jc w:val="both"/>
        <w:rPr>
          <w:b/>
          <w:b/>
        </w:rPr>
      </w:pPr>
      <w:r>
        <w:rPr>
          <w:b/>
        </w:rPr>
      </w:r>
    </w:p>
    <w:p>
      <w:pPr>
        <w:pStyle w:val="NoSpacing"/>
        <w:numPr>
          <w:ilvl w:val="0"/>
          <w:numId w:val="3"/>
        </w:numPr>
        <w:spacing w:before="0" w:after="0"/>
        <w:contextualSpacing/>
        <w:jc w:val="center"/>
        <w:rPr>
          <w:b/>
          <w:b/>
        </w:rPr>
      </w:pPr>
      <w:r>
        <w:rPr>
          <w:b/>
        </w:rPr>
        <w:t>Условия участия, допуска и отказа в допуске к участию в аукционе</w:t>
      </w:r>
    </w:p>
    <w:p>
      <w:pPr>
        <w:pStyle w:val="Normal"/>
        <w:ind w:firstLine="709"/>
        <w:jc w:val="both"/>
        <w:rPr/>
      </w:pPr>
      <w:r>
        <w:rPr/>
      </w:r>
    </w:p>
    <w:p>
      <w:pPr>
        <w:pStyle w:val="Normal"/>
        <w:ind w:left="-180" w:firstLine="747"/>
        <w:jc w:val="both"/>
        <w:rPr/>
      </w:pPr>
      <w:r>
        <w:rPr>
          <w:bCs/>
          <w:iCs/>
        </w:rPr>
        <w:t>8.1. Заявка подается путем заполнения ее электронной формы, размещенной в открытой для доступа неограниченного круга лиц части электронной площадки.</w:t>
      </w:r>
      <w:r>
        <w:rPr/>
        <w:t xml:space="preserve"> Претендент представляет в установленный в извещении о проведении аукциона срок следующие документы (в форме электронных документов либо электронных образов документов, заверенных электронной подписью):</w:t>
      </w:r>
    </w:p>
    <w:p>
      <w:pPr>
        <w:pStyle w:val="Normal"/>
        <w:ind w:firstLine="567"/>
        <w:jc w:val="both"/>
        <w:rPr>
          <w:bCs/>
          <w:iCs/>
        </w:rPr>
      </w:pPr>
      <w:r>
        <w:rPr>
          <w:bCs/>
          <w:iCs/>
        </w:rPr>
        <w:t>8.2. Одновременно с заявкой участники представляют электронные образцы следующих документов:</w:t>
      </w:r>
    </w:p>
    <w:p>
      <w:pPr>
        <w:pStyle w:val="Normal"/>
        <w:ind w:firstLine="709"/>
        <w:jc w:val="both"/>
        <w:rPr>
          <w:bCs/>
          <w:iCs/>
        </w:rPr>
      </w:pPr>
      <w:r>
        <w:rPr>
          <w:bCs/>
          <w:iCs/>
        </w:rPr>
        <w:t>Юридические лица:</w:t>
      </w:r>
    </w:p>
    <w:p>
      <w:pPr>
        <w:pStyle w:val="Normal"/>
        <w:ind w:firstLine="709"/>
        <w:jc w:val="both"/>
        <w:rPr>
          <w:bCs/>
          <w:iCs/>
        </w:rPr>
      </w:pPr>
      <w:r>
        <w:rPr>
          <w:bCs/>
          <w:iCs/>
        </w:rPr>
        <w:t>- заверенные копии учредительных документов;</w:t>
      </w:r>
    </w:p>
    <w:p>
      <w:pPr>
        <w:pStyle w:val="Normal"/>
        <w:ind w:firstLine="709"/>
        <w:jc w:val="both"/>
        <w:rPr>
          <w:bCs/>
          <w:iCs/>
        </w:rPr>
      </w:pPr>
      <w:r>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709"/>
        <w:jc w:val="both"/>
        <w:rPr>
          <w:bCs/>
          <w:iCs/>
        </w:rPr>
      </w:pPr>
      <w:r>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709"/>
        <w:jc w:val="both"/>
        <w:rPr>
          <w:bCs/>
          <w:iCs/>
        </w:rPr>
      </w:pPr>
      <w:r>
        <w:rPr>
          <w:bCs/>
          <w:iCs/>
        </w:rPr>
        <w:t>Физические лица предъявляют копии всех листов документа, удостоверяющего личность.</w:t>
      </w:r>
    </w:p>
    <w:p>
      <w:pPr>
        <w:pStyle w:val="Normal"/>
        <w:ind w:firstLine="709"/>
        <w:jc w:val="both"/>
        <w:rPr>
          <w:bCs/>
          <w:iCs/>
        </w:rPr>
      </w:pPr>
      <w:r>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67"/>
        <w:jc w:val="both"/>
        <w:rPr/>
      </w:pPr>
      <w:r>
        <w:rPr/>
        <w:t xml:space="preserve">8.3. Один претендент имеет право подать только одну заявку на участие в аукционе. </w:t>
      </w:r>
    </w:p>
    <w:p>
      <w:pPr>
        <w:pStyle w:val="Normal"/>
        <w:widowControl w:val="false"/>
        <w:suppressAutoHyphens w:val="true"/>
        <w:ind w:firstLine="567"/>
        <w:jc w:val="both"/>
        <w:rPr/>
      </w:pPr>
      <w:r>
        <w:rPr>
          <w:color w:val="000000"/>
          <w:shd w:fill="FFFFFF" w:val="clear"/>
        </w:rPr>
        <w:t>8.4. Заявка на участие в аукционе с указанием банковских реквизитов счета для возврата задатка направляется оператору ЭП в форме электронного документа с приложением документов, указанных в </w:t>
      </w:r>
      <w:r>
        <w:fldChar w:fldCharType="begin"/>
      </w:r>
      <w:r>
        <w:rPr>
          <w:rStyle w:val="Style15"/>
          <w:highlight w:val="white"/>
        </w:rPr>
        <w:instrText> HYPERLINK "http://www.consultant.ru/document/cons_doc_LAW_443769/3446ddfcafad7edd45fa9e4766584f3a09c11d98/" \l "dst671"</w:instrText>
      </w:r>
      <w:r>
        <w:rPr>
          <w:rStyle w:val="Style15"/>
          <w:highlight w:val="white"/>
        </w:rPr>
        <w:fldChar w:fldCharType="separate"/>
      </w:r>
      <w:r>
        <w:rPr>
          <w:rStyle w:val="Style15"/>
          <w:color w:val="1A0DAB"/>
          <w:highlight w:val="white"/>
        </w:rPr>
        <w:t>подпунктах 2</w:t>
      </w:r>
      <w:r>
        <w:rPr>
          <w:rStyle w:val="Style15"/>
          <w:highlight w:val="white"/>
        </w:rPr>
        <w:fldChar w:fldCharType="end"/>
      </w:r>
      <w:r>
        <w:rPr>
          <w:color w:val="000000"/>
          <w:shd w:fill="FFFFFF" w:val="clear"/>
        </w:rPr>
        <w:t> - </w:t>
      </w:r>
      <w:r>
        <w:fldChar w:fldCharType="begin"/>
      </w:r>
      <w:r>
        <w:rPr>
          <w:rStyle w:val="Style15"/>
          <w:highlight w:val="white"/>
        </w:rPr>
        <w:instrText> HYPERLINK "http://www.consultant.ru/document/cons_doc_LAW_443769/3446ddfcafad7edd45fa9e4766584f3a09c11d98/" \l "dst673"</w:instrText>
      </w:r>
      <w:r>
        <w:rPr>
          <w:rStyle w:val="Style15"/>
          <w:highlight w:val="white"/>
        </w:rPr>
        <w:fldChar w:fldCharType="separate"/>
      </w:r>
      <w:r>
        <w:rPr>
          <w:rStyle w:val="Style15"/>
          <w:color w:val="1A0DAB"/>
          <w:highlight w:val="white"/>
        </w:rPr>
        <w:t>4 пункта 1</w:t>
      </w:r>
      <w:r>
        <w:rPr>
          <w:rStyle w:val="Style15"/>
          <w:highlight w:val="white"/>
        </w:rPr>
        <w:fldChar w:fldCharType="end"/>
      </w:r>
      <w:r>
        <w:rPr>
          <w:color w:val="000000"/>
          <w:shd w:fill="FFFFFF" w:val="clear"/>
        </w:rPr>
        <w:t>, </w:t>
      </w:r>
      <w:r>
        <w:fldChar w:fldCharType="begin"/>
      </w:r>
      <w:r>
        <w:rPr>
          <w:rStyle w:val="Style15"/>
          <w:highlight w:val="white"/>
        </w:rPr>
        <w:instrText> HYPERLINK "http://www.consultant.ru/document/cons_doc_LAW_443769/3446ddfcafad7edd45fa9e4766584f3a09c11d98/" \l "dst1744"</w:instrText>
      </w:r>
      <w:r>
        <w:rPr>
          <w:rStyle w:val="Style15"/>
          <w:highlight w:val="white"/>
        </w:rPr>
        <w:fldChar w:fldCharType="separate"/>
      </w:r>
      <w:r>
        <w:rPr>
          <w:rStyle w:val="Style15"/>
          <w:color w:val="1A0DAB"/>
          <w:highlight w:val="white"/>
        </w:rPr>
        <w:t>пункте 1.1 статьи 39.12</w:t>
      </w:r>
      <w:r>
        <w:rPr>
          <w:rStyle w:val="Style15"/>
          <w:highlight w:val="white"/>
        </w:rPr>
        <w:fldChar w:fldCharType="end"/>
      </w:r>
      <w:r>
        <w:rPr>
          <w:color w:val="000000"/>
          <w:shd w:fill="FFFFFF" w:val="clear"/>
        </w:rPr>
        <w:t xml:space="preserve"> Земельного Кодекса РФ. </w:t>
      </w:r>
    </w:p>
    <w:p>
      <w:pPr>
        <w:pStyle w:val="Normal"/>
        <w:widowControl w:val="false"/>
        <w:suppressAutoHyphens w:val="true"/>
        <w:ind w:firstLine="567"/>
        <w:jc w:val="both"/>
        <w:rPr/>
      </w:pPr>
      <w:r>
        <w:rPr/>
        <w:t>8.5. Заявки с прилагаемыми к ним документами, поданные с нарушением установленного срока, на электронной площадке не регистрируются.</w:t>
      </w:r>
    </w:p>
    <w:p>
      <w:pPr>
        <w:pStyle w:val="Normal"/>
        <w:widowControl w:val="false"/>
        <w:suppressAutoHyphens w:val="true"/>
        <w:ind w:firstLine="540"/>
        <w:jc w:val="both"/>
        <w:rPr/>
      </w:pPr>
      <w:r>
        <w:rPr/>
        <w:t>8.6. Претендент вправе отозвать заявку путем направления уведомления об отзыве заявки на электронную площадку.</w:t>
      </w:r>
    </w:p>
    <w:p>
      <w:pPr>
        <w:pStyle w:val="Normal"/>
        <w:spacing w:lineRule="atLeast" w:line="200"/>
        <w:ind w:firstLine="720"/>
        <w:jc w:val="both"/>
        <w:rPr/>
      </w:pPr>
      <w:r>
        <w:rPr>
          <w:b/>
          <w:bCs/>
        </w:rPr>
        <w:t xml:space="preserve">8.7. Условия допуска к участию в аукционе. </w:t>
      </w:r>
      <w:r>
        <w:rPr/>
        <w:tab/>
        <w:t>Претендент не допускается к участию в аукционе по следующим основаниям:</w:t>
      </w:r>
    </w:p>
    <w:p>
      <w:pPr>
        <w:pStyle w:val="ConsPlusNormal"/>
        <w:keepNext w:val="true"/>
        <w:spacing w:lineRule="atLeast" w:line="200"/>
        <w:jc w:val="both"/>
        <w:rPr>
          <w:rFonts w:ascii="Times New Roman" w:hAnsi="Times New Roman" w:cs="Times New Roman"/>
          <w:sz w:val="24"/>
          <w:szCs w:val="24"/>
        </w:rPr>
      </w:pPr>
      <w:r>
        <w:rPr>
          <w:rFonts w:cs="Times New Roman" w:ascii="Times New Roman" w:hAnsi="Times New Roman"/>
          <w:sz w:val="24"/>
          <w:szCs w:val="24"/>
        </w:rPr>
        <w:t>- непредставление необходимых для участия в аукционе документов или  представление недостоверных сведений;</w:t>
      </w:r>
    </w:p>
    <w:p>
      <w:pPr>
        <w:pStyle w:val="Style141"/>
        <w:widowControl/>
        <w:tabs>
          <w:tab w:val="clear" w:pos="708"/>
          <w:tab w:val="left" w:pos="778" w:leader="none"/>
        </w:tabs>
        <w:spacing w:lineRule="atLeast" w:line="200"/>
        <w:ind w:hanging="0"/>
        <w:rPr>
          <w:sz w:val="24"/>
          <w:szCs w:val="24"/>
        </w:rPr>
      </w:pPr>
      <w:r>
        <w:rPr>
          <w:sz w:val="24"/>
          <w:szCs w:val="24"/>
        </w:rPr>
        <w:tab/>
        <w:t>- непоступление задатка на дату рассмотрения заявок на участие в аукционе;</w:t>
      </w:r>
    </w:p>
    <w:p>
      <w:pPr>
        <w:pStyle w:val="Normal"/>
        <w:keepNext w:val="true"/>
        <w:spacing w:lineRule="atLeast" w:line="200"/>
        <w:jc w:val="both"/>
        <w:rPr/>
      </w:pPr>
      <w:r>
        <w:rPr/>
        <w:tab/>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w:t>
      </w:r>
    </w:p>
    <w:p>
      <w:pPr>
        <w:pStyle w:val="Normal"/>
        <w:spacing w:lineRule="atLeast" w:line="200"/>
        <w:jc w:val="both"/>
        <w:rPr/>
      </w:pPr>
      <w:r>
        <w:rPr/>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pPr>
        <w:pStyle w:val="Normal"/>
        <w:spacing w:lineRule="atLeast" w:line="200"/>
        <w:ind w:firstLine="709"/>
        <w:jc w:val="both"/>
        <w:rPr>
          <w:rFonts w:cs="Calibri"/>
          <w:b/>
          <w:b/>
          <w:bCs/>
        </w:rPr>
      </w:pPr>
      <w:r>
        <w:rPr>
          <w:rFonts w:cs="Calibri"/>
          <w:b/>
          <w:bCs/>
        </w:rPr>
        <w:t xml:space="preserve">8.8. Порядок определения участников аукциона: </w:t>
      </w:r>
    </w:p>
    <w:p>
      <w:pPr>
        <w:pStyle w:val="Normal"/>
        <w:spacing w:lineRule="atLeast" w:line="200"/>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tLeast" w:line="200"/>
        <w:jc w:val="both"/>
        <w:rPr/>
      </w:pPr>
      <w:r>
        <w:rPr>
          <w:rFonts w:cs="Calibri"/>
          <w:b/>
          <w:bCs/>
        </w:rPr>
        <w:tab/>
      </w:r>
      <w:r>
        <w:rPr>
          <w:rFonts w:cs="Calibri"/>
        </w:rPr>
        <w:t xml:space="preserve">2)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рассмотрения заявок, в котором </w:t>
      </w:r>
      <w:r>
        <w:rP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pPr>
        <w:pStyle w:val="Normal"/>
        <w:spacing w:lineRule="atLeast" w:line="200"/>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оператором направляются уведомления о признании их участниками или об отказе в таком признании с указанием оснований отказа.</w:t>
      </w:r>
    </w:p>
    <w:p>
      <w:pPr>
        <w:pStyle w:val="Normal"/>
        <w:ind w:firstLine="709"/>
        <w:jc w:val="both"/>
        <w:rPr/>
      </w:pPr>
      <w:r>
        <w:rPr/>
        <w:t>8.9. Заявитель, признанный участником аукциона, становится участником аукциона с даты подписания организатором аукциона протокола рассмотрения заявок.</w:t>
      </w:r>
      <w:bookmarkStart w:id="1" w:name="sub_39129"/>
      <w:bookmarkEnd w:id="1"/>
    </w:p>
    <w:p>
      <w:pPr>
        <w:pStyle w:val="Normal"/>
        <w:ind w:firstLine="709"/>
        <w:jc w:val="both"/>
        <w:rPr/>
      </w:pPr>
      <w:r>
        <w:rPr/>
      </w:r>
    </w:p>
    <w:p>
      <w:pPr>
        <w:pStyle w:val="ListParagraph"/>
        <w:numPr>
          <w:ilvl w:val="0"/>
          <w:numId w:val="3"/>
        </w:numPr>
        <w:jc w:val="center"/>
        <w:rPr>
          <w:b/>
          <w:b/>
        </w:rPr>
      </w:pPr>
      <w:r>
        <w:rPr>
          <w:b/>
        </w:rPr>
        <w:t>Порядок проведения аукциона</w:t>
      </w:r>
    </w:p>
    <w:p>
      <w:pPr>
        <w:pStyle w:val="Normal"/>
        <w:ind w:firstLine="567"/>
        <w:jc w:val="both"/>
        <w:rPr>
          <w:color w:val="FF0000"/>
        </w:rPr>
      </w:pPr>
      <w:r>
        <w:rPr/>
        <w:t>9.1. Проведение аукциона в электронной форме в соответствии с Регламентом электронной площадки обеспечивается Оператором электронной площадки.</w:t>
      </w:r>
    </w:p>
    <w:p>
      <w:pPr>
        <w:pStyle w:val="Normal"/>
        <w:ind w:firstLine="567"/>
        <w:jc w:val="both"/>
        <w:rPr>
          <w:color w:val="FF0000"/>
        </w:rPr>
      </w:pPr>
      <w:r>
        <w:rPr/>
        <w:t xml:space="preserve">9.2. 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pPr>
        <w:pStyle w:val="Normal"/>
        <w:ind w:firstLine="567"/>
        <w:jc w:val="both"/>
        <w:rPr>
          <w:color w:val="FF0000"/>
        </w:rPr>
      </w:pPr>
      <w:r>
        <w:rPr/>
        <w:t>9.3. 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pPr>
        <w:pStyle w:val="Normal"/>
        <w:ind w:firstLine="567"/>
        <w:jc w:val="both"/>
        <w:rPr>
          <w:color w:val="FF0000"/>
        </w:rPr>
      </w:pPr>
      <w:r>
        <w:rPr/>
        <w:t>9.4. Аукцион в электронной форме проводится путем повышения начальной цены Предмета аукциона на «шаг аукциона».</w:t>
      </w:r>
    </w:p>
    <w:p>
      <w:pPr>
        <w:pStyle w:val="Normal"/>
        <w:ind w:firstLine="567"/>
        <w:jc w:val="both"/>
        <w:rPr>
          <w:color w:val="000000"/>
          <w:highlight w:val="white"/>
        </w:rPr>
      </w:pPr>
      <w:r>
        <w:rPr>
          <w:color w:val="000000"/>
          <w:shd w:fill="FFFFFF" w:val="clear"/>
        </w:rPr>
        <w:t>9.5.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ind w:firstLine="567"/>
        <w:jc w:val="both"/>
        <w:rPr>
          <w:color w:val="FF0000"/>
        </w:rPr>
      </w:pPr>
      <w:r>
        <w:rPr/>
        <w:t>9.6. 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pPr>
        <w:pStyle w:val="Normal"/>
        <w:ind w:firstLine="567"/>
        <w:jc w:val="both"/>
        <w:rPr>
          <w:color w:val="FF0000"/>
        </w:rPr>
      </w:pPr>
      <w:r>
        <w:rPr/>
        <w:t>9.7. 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pPr>
        <w:pStyle w:val="Normal"/>
        <w:ind w:firstLine="567"/>
        <w:jc w:val="both"/>
        <w:rPr>
          <w:color w:val="FF0000"/>
        </w:rPr>
      </w:pPr>
      <w:r>
        <w:rPr/>
        <w:t>9.8. 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pPr>
        <w:pStyle w:val="Normal"/>
        <w:ind w:firstLine="567"/>
        <w:jc w:val="both"/>
        <w:rPr>
          <w:color w:val="FF0000"/>
        </w:rPr>
      </w:pPr>
      <w:r>
        <w:rPr/>
        <w:t>9.9. Оператор ЭП приостанавливает проведение аукциона в электронной форме в случае технологического сбоя, зафиксированного программными и техническими средствами ЭП.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ЭП с указанием даты и времени возобновления проведения аукциона в электронной форме.</w:t>
      </w:r>
    </w:p>
    <w:p>
      <w:pPr>
        <w:pStyle w:val="Normal"/>
        <w:ind w:firstLine="567"/>
        <w:jc w:val="both"/>
        <w:rPr/>
      </w:pPr>
      <w:r>
        <w:rPr/>
        <w:t>9.10. После завершения аукциона в электронной форме Оператор ЭП  размещает Протокол о результатах аукциона на ЭП в соответствии с Регламентом ЭП,  содержащий все максимальные предложения каждого участника о цене предмета аукциона.</w:t>
      </w:r>
    </w:p>
    <w:p>
      <w:pPr>
        <w:pStyle w:val="Normal"/>
        <w:ind w:firstLine="567"/>
        <w:jc w:val="both"/>
        <w:rPr/>
      </w:pPr>
      <w:r>
        <w:rPr/>
        <w:t xml:space="preserve">9.11. 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pPr>
        <w:pStyle w:val="Normal"/>
        <w:ind w:firstLine="567"/>
        <w:jc w:val="both"/>
        <w:rPr/>
      </w:pPr>
      <w:r>
        <w:rPr/>
        <w:t xml:space="preserve">9.12. Победителем Аукциона признается Участник, предложивший наибольшее ценовое предложение. </w:t>
      </w:r>
    </w:p>
    <w:p>
      <w:pPr>
        <w:pStyle w:val="Normal"/>
        <w:ind w:firstLine="567"/>
        <w:jc w:val="both"/>
        <w:rPr/>
      </w:pPr>
      <w:r>
        <w:rPr/>
        <w:t>9.13. 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p>
    <w:p>
      <w:pPr>
        <w:pStyle w:val="Normal"/>
        <w:ind w:firstLine="567"/>
        <w:jc w:val="both"/>
        <w:rPr/>
      </w:pPr>
      <w:r>
        <w:rPr/>
        <w:t xml:space="preserve">9.14. Аукцион (лот) признается несостоявшимся в следующих случаях: </w:t>
      </w:r>
    </w:p>
    <w:p>
      <w:pPr>
        <w:pStyle w:val="Normal"/>
        <w:ind w:firstLine="567"/>
        <w:jc w:val="both"/>
        <w:rPr/>
      </w:pPr>
      <w:r>
        <w:rPr/>
        <w:t xml:space="preserve">- не было подано ни одной заявки на участие либо ни один из Претендентов не признан Участником Аукциона; </w:t>
      </w:r>
    </w:p>
    <w:p>
      <w:pPr>
        <w:pStyle w:val="Normal"/>
        <w:ind w:firstLine="567"/>
        <w:jc w:val="both"/>
        <w:rPr/>
      </w:pPr>
      <w:r>
        <w:rPr/>
        <w:t>-  Организатором Аукциона принято решение о признании только одного Претендента Участником Аукциона;</w:t>
      </w:r>
    </w:p>
    <w:p>
      <w:pPr>
        <w:pStyle w:val="Normal"/>
        <w:ind w:firstLine="567"/>
        <w:jc w:val="both"/>
        <w:rPr/>
      </w:pPr>
      <w:r>
        <w:rPr/>
        <w:t>- ни один из Участников продажи не сделал предложение о начальной цене имущества;</w:t>
      </w:r>
    </w:p>
    <w:p>
      <w:pPr>
        <w:pStyle w:val="Normal"/>
        <w:ind w:firstLine="567"/>
        <w:jc w:val="both"/>
        <w:rPr/>
      </w:pPr>
      <w:r>
        <w:rPr/>
        <w:t>9.15. 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pPr>
        <w:pStyle w:val="Normal"/>
        <w:ind w:firstLine="567"/>
        <w:jc w:val="both"/>
        <w:rPr/>
      </w:pPr>
      <w:r>
        <w:rPr/>
        <w:t>9.16. С момента подписания ЭП и опубликования на ЭП протокола об итогах Аукциона Организатор имеет возможность заключить договор с Победителем в электронной форме на ЭП.</w:t>
      </w:r>
    </w:p>
    <w:p>
      <w:pPr>
        <w:pStyle w:val="Normal"/>
        <w:ind w:firstLine="567"/>
        <w:jc w:val="both"/>
        <w:rPr/>
      </w:pPr>
      <w:r>
        <w:rPr/>
      </w:r>
    </w:p>
    <w:p>
      <w:pPr>
        <w:pStyle w:val="ConsPlusNormal"/>
        <w:widowControl/>
        <w:numPr>
          <w:ilvl w:val="0"/>
          <w:numId w:val="3"/>
        </w:numPr>
        <w:spacing w:before="0" w:after="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Порядок заключения договора купли-продажи </w:t>
      </w:r>
    </w:p>
    <w:p>
      <w:pPr>
        <w:pStyle w:val="ConsPlusNormal"/>
        <w:widowContro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708"/>
        <w:jc w:val="both"/>
        <w:rPr>
          <w:rStyle w:val="Fontstyle01"/>
        </w:rPr>
      </w:pPr>
      <w:r>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pPr>
        <w:pStyle w:val="Normal"/>
        <w:ind w:firstLine="708"/>
        <w:jc w:val="both"/>
        <w:rPr>
          <w:rStyle w:val="Fontstyle01"/>
          <w:rFonts w:ascii="Times New Roman" w:hAnsi="Times New Roman"/>
        </w:rPr>
      </w:pPr>
      <w:r>
        <w:rPr>
          <w:color w:val="000000"/>
          <w:shd w:fill="FFFFFF" w:val="clear"/>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pPr>
        <w:pStyle w:val="Normal"/>
        <w:spacing w:before="0" w:after="0"/>
        <w:ind w:firstLine="709"/>
        <w:contextualSpacing/>
        <w:jc w:val="both"/>
        <w:rPr/>
      </w:pPr>
      <w:r>
        <w:rPr>
          <w:shd w:fill="FFFFFF" w:val="clear"/>
        </w:rPr>
        <w:t>10.3. Уполномоченный орган обязан в течение пяти дней со дня истечения срока, предусмотренного п. 10.2 Извещения , направить победителю электронного аукциона или иным лицам, с которыми в соответствии с </w:t>
      </w:r>
      <w:r>
        <w:fldChar w:fldCharType="begin"/>
      </w:r>
      <w:r>
        <w:rPr>
          <w:rStyle w:val="Style15"/>
          <w:highlight w:val="white"/>
        </w:rPr>
        <w:instrText> HYPERLINK "http://www.consultant.ru/document/cons_doc_LAW_443769/3446ddfcafad7edd45fa9e4766584f3a09c11d98/" \l "dst689"</w:instrText>
      </w:r>
      <w:r>
        <w:rPr>
          <w:rStyle w:val="Style15"/>
          <w:highlight w:val="white"/>
        </w:rPr>
        <w:fldChar w:fldCharType="separate"/>
      </w:r>
      <w:r>
        <w:rPr>
          <w:rStyle w:val="Style15"/>
          <w:color w:val="1A0DAB"/>
          <w:highlight w:val="white"/>
        </w:rPr>
        <w:t>пунктами 13</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"dst690"</w:instrText>
      </w:r>
      <w:r>
        <w:rPr>
          <w:rStyle w:val="Style15"/>
          <w:highlight w:val="white"/>
        </w:rPr>
        <w:fldChar w:fldCharType="separate"/>
      </w:r>
      <w:r>
        <w:rPr>
          <w:rStyle w:val="Style15"/>
          <w:color w:val="1A0DAB"/>
          <w:highlight w:val="white"/>
        </w:rPr>
        <w:t>14</w:t>
      </w:r>
      <w:r>
        <w:rPr>
          <w:rStyle w:val="Style15"/>
          <w:highlight w:val="white"/>
        </w:rPr>
        <w:fldChar w:fldCharType="end"/>
      </w:r>
      <w:r>
        <w:rPr>
          <w:shd w:fill="FFFFFF" w:val="clear"/>
        </w:rPr>
        <w:t>, </w:t>
      </w:r>
      <w:r>
        <w:fldChar w:fldCharType="begin"/>
      </w:r>
      <w:r>
        <w:rPr>
          <w:rStyle w:val="Style15"/>
          <w:highlight w:val="white"/>
        </w:rPr>
        <w:instrText> HYPERLINK "http://www.consultant.ru/document/cons_doc_LAW_443769/3446ddfcafad7edd45fa9e4766584f3a09c11d98/" \l "dst702"</w:instrText>
      </w:r>
      <w:r>
        <w:rPr>
          <w:rStyle w:val="Style15"/>
          <w:highlight w:val="white"/>
        </w:rPr>
        <w:fldChar w:fldCharType="separate"/>
      </w:r>
      <w:r>
        <w:rPr>
          <w:rStyle w:val="Style15"/>
          <w:color w:val="1A0DAB"/>
          <w:highlight w:val="white"/>
        </w:rPr>
        <w:t>20</w:t>
      </w:r>
      <w:r>
        <w:rPr>
          <w:rStyle w:val="Style15"/>
          <w:highlight w:val="white"/>
        </w:rPr>
        <w:fldChar w:fldCharType="end"/>
      </w:r>
      <w:r>
        <w:rPr>
          <w:shd w:fill="FFFFFF" w:val="clear"/>
        </w:rPr>
        <w:t> и </w:t>
      </w:r>
      <w:r>
        <w:fldChar w:fldCharType="begin"/>
      </w:r>
      <w:r>
        <w:rPr>
          <w:rStyle w:val="Style15"/>
          <w:highlight w:val="white"/>
        </w:rPr>
        <w:instrText> HYPERLINK "http://www.consultant.ru/document/cons_doc_LAW_443769/3446ddfcafad7edd45fa9e4766584f3a09c11d98/" \l "dst101232"</w:instrText>
      </w:r>
      <w:r>
        <w:rPr>
          <w:rStyle w:val="Style15"/>
          <w:highlight w:val="white"/>
        </w:rPr>
        <w:fldChar w:fldCharType="separate"/>
      </w:r>
      <w:r>
        <w:rPr>
          <w:rStyle w:val="Style15"/>
          <w:color w:val="1A0DAB"/>
          <w:highlight w:val="white"/>
        </w:rPr>
        <w:t>25 статьи 39.12</w:t>
      </w:r>
      <w:r>
        <w:rPr>
          <w:rStyle w:val="Style15"/>
          <w:highlight w:val="white"/>
        </w:rPr>
        <w:fldChar w:fldCharType="end"/>
      </w:r>
      <w:r>
        <w:rPr>
          <w:shd w:fill="FFFFFF" w:val="clear"/>
        </w:rPr>
        <w:t> Земельного Кодекса РФ заключается договор купли-продажи земельного участка, находящегося в муниципальной собственности, подписанный проект договора купли-продажи земельного участка, находящегося в муниципальной собственности</w:t>
      </w:r>
      <w:r>
        <w:rPr>
          <w:sz w:val="37"/>
          <w:szCs w:val="37"/>
          <w:shd w:fill="FFFFFF" w:val="clear"/>
        </w:rPr>
        <w:t>.</w:t>
      </w:r>
    </w:p>
    <w:p>
      <w:pPr>
        <w:pStyle w:val="Normal"/>
        <w:spacing w:before="0" w:after="0"/>
        <w:ind w:firstLine="709"/>
        <w:contextualSpacing/>
        <w:jc w:val="both"/>
        <w:rPr>
          <w:rStyle w:val="Fontstyle01"/>
        </w:rPr>
      </w:pPr>
      <w:r>
        <w:rPr>
          <w:rStyle w:val="Fontstyle01"/>
        </w:rPr>
        <w:t>10.4. По результатам проведения аукциона Договор заключается в электронной форме и подписывается усиленной квалифицированной электронной подписью сторон такого договора с последующим подписанием на бумажном носителе.</w:t>
      </w:r>
    </w:p>
    <w:p>
      <w:pPr>
        <w:pStyle w:val="NormalWeb"/>
        <w:spacing w:beforeAutospacing="0" w:before="0" w:afterAutospacing="0" w:after="0"/>
        <w:ind w:firstLine="709"/>
        <w:contextualSpacing/>
        <w:jc w:val="both"/>
        <w:rPr/>
      </w:pPr>
      <w:r>
        <w:rPr/>
        <w:t>10.5.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pPr>
        <w:pStyle w:val="NormalWeb"/>
        <w:spacing w:beforeAutospacing="0" w:before="0" w:afterAutospacing="0" w:after="0"/>
        <w:ind w:firstLine="709"/>
        <w:contextualSpacing/>
        <w:jc w:val="both"/>
        <w:rPr/>
      </w:pPr>
      <w:r>
        <w:rPr/>
      </w:r>
    </w:p>
    <w:p>
      <w:pPr>
        <w:pStyle w:val="NormalWeb"/>
        <w:numPr>
          <w:ilvl w:val="0"/>
          <w:numId w:val="3"/>
        </w:numPr>
        <w:spacing w:beforeAutospacing="0" w:before="0" w:afterAutospacing="0" w:after="0"/>
        <w:contextualSpacing/>
        <w:jc w:val="center"/>
        <w:rPr>
          <w:b/>
          <w:b/>
        </w:rPr>
      </w:pPr>
      <w:r>
        <w:rPr>
          <w:b/>
        </w:rPr>
        <w:t>Срок принятия решения об отказе в проведении аукциона</w:t>
      </w:r>
    </w:p>
    <w:p>
      <w:pPr>
        <w:pStyle w:val="NormalWeb"/>
        <w:spacing w:beforeAutospacing="0" w:before="0" w:afterAutospacing="0" w:after="0"/>
        <w:ind w:firstLine="709"/>
        <w:contextualSpacing/>
        <w:jc w:val="center"/>
        <w:rPr>
          <w:b/>
          <w:b/>
        </w:rPr>
      </w:pPr>
      <w:r>
        <w:rPr>
          <w:b/>
        </w:rPr>
      </w:r>
    </w:p>
    <w:p>
      <w:pPr>
        <w:pStyle w:val="NormalWeb"/>
        <w:spacing w:beforeAutospacing="0" w:before="0" w:afterAutospacing="0" w:after="0"/>
        <w:ind w:firstLine="709"/>
        <w:contextualSpacing/>
        <w:jc w:val="both"/>
        <w:rPr/>
      </w:pPr>
      <w:r>
        <w:rPr>
          <w:color w:val="000000"/>
          <w:shd w:fill="FFFFFF" w:val="clear"/>
        </w:rPr>
        <w:t>11.1. Организатор торгов принимает решение об отказе в проведении аукциона в случае выявления обстоятельств, предусмотренных </w:t>
      </w:r>
      <w:r>
        <w:fldChar w:fldCharType="begin"/>
      </w:r>
      <w:r>
        <w:rPr>
          <w:rStyle w:val="Style15"/>
          <w:u w:val="none"/>
          <w:highlight w:val="white"/>
        </w:rPr>
        <w:instrText> HYPERLINK "http://www.consultant.ru/document/cons_doc_LAW_416263/8a479c028d080f9c4013f9a12ca4bc04a1bc7527/" \l "dst620"</w:instrText>
      </w:r>
      <w:r>
        <w:rPr>
          <w:rStyle w:val="Style15"/>
          <w:u w:val="none"/>
          <w:highlight w:val="white"/>
        </w:rPr>
        <w:fldChar w:fldCharType="separate"/>
      </w:r>
      <w:r>
        <w:rPr>
          <w:rStyle w:val="Style15"/>
          <w:color w:val="000000" w:themeColor="text1"/>
          <w:highlight w:val="white"/>
          <w:u w:val="none"/>
        </w:rPr>
        <w:t>пунктом 8</w:t>
      </w:r>
      <w:r>
        <w:rPr>
          <w:rStyle w:val="Style15"/>
          <w:u w:val="none"/>
          <w:highlight w:val="white"/>
        </w:rPr>
        <w:fldChar w:fldCharType="end"/>
      </w:r>
      <w:r>
        <w:rPr>
          <w:color w:val="000000"/>
          <w:shd w:fill="FFFFFF" w:val="clear"/>
        </w:rPr>
        <w:t> </w:t>
      </w:r>
      <w:r>
        <w:rPr/>
        <w:t>статьи 39.12 Земельного кодекса Российской Федерации</w:t>
      </w:r>
      <w:r>
        <w:rPr>
          <w:color w:val="000000"/>
          <w:shd w:fill="FFFFFF" w:val="clear"/>
        </w:rPr>
        <w:t xml:space="preserve">. </w:t>
      </w:r>
    </w:p>
    <w:p>
      <w:pPr>
        <w:pStyle w:val="NormalWeb"/>
        <w:spacing w:beforeAutospacing="0" w:before="0" w:afterAutospacing="0" w:after="0"/>
        <w:ind w:firstLine="709"/>
        <w:contextualSpacing/>
        <w:jc w:val="both"/>
        <w:rPr/>
      </w:pPr>
      <w:r>
        <w:rPr>
          <w:color w:val="000000"/>
          <w:shd w:fill="FFFFFF" w:val="clear"/>
        </w:rPr>
        <w:t xml:space="preserve">11.2. </w:t>
      </w:r>
      <w:r>
        <w:rPr/>
        <w:t>Организатор аукциона вправе отказаться от проведения аукциона в любое время, но не позднее, чем за три дня до наступления даты его проведения (п. 4 ст. 448 Гражданского Кодекса РФ).</w:t>
      </w:r>
    </w:p>
    <w:p>
      <w:pPr>
        <w:pStyle w:val="Normal"/>
        <w:ind w:firstLine="709"/>
        <w:jc w:val="both"/>
        <w:rPr>
          <w:rFonts w:eastAsia="Calibri" w:eastAsiaTheme="minorHAnsi"/>
          <w:lang w:eastAsia="en-US"/>
        </w:rPr>
      </w:pPr>
      <w:r>
        <w:rPr/>
        <w:t xml:space="preserve">11.3. </w:t>
      </w:r>
      <w:r>
        <w:rPr>
          <w:rFonts w:eastAsia="Calibri"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Normal"/>
        <w:numPr>
          <w:ilvl w:val="0"/>
          <w:numId w:val="0"/>
        </w:numPr>
        <w:jc w:val="both"/>
        <w:outlineLvl w:val="0"/>
        <w:rPr>
          <w:rFonts w:eastAsia="Calibri" w:eastAsiaTheme="minorHAnsi"/>
          <w:lang w:eastAsia="en-US"/>
        </w:rPr>
      </w:pPr>
      <w:r>
        <w:rPr>
          <w:rFonts w:eastAsia="Calibri" w:eastAsiaTheme="minorHAnsi"/>
          <w:lang w:eastAsia="en-US"/>
        </w:rPr>
      </w:r>
    </w:p>
    <w:p>
      <w:pPr>
        <w:pStyle w:val="ListParagraph"/>
        <w:numPr>
          <w:ilvl w:val="0"/>
          <w:numId w:val="3"/>
        </w:numPr>
        <w:tabs>
          <w:tab w:val="clear" w:pos="708"/>
          <w:tab w:val="left" w:pos="540" w:leader="none"/>
        </w:tabs>
        <w:ind w:left="720" w:right="-2" w:hanging="360"/>
        <w:jc w:val="center"/>
        <w:rPr>
          <w:b/>
          <w:b/>
        </w:rPr>
      </w:pPr>
      <w:r>
        <w:rPr>
          <w:b/>
        </w:rPr>
        <w:t>Порядок ознакомления заявителей с иной информацией, условиями договора купли-продажи имущества, осмотра имущества</w:t>
      </w:r>
    </w:p>
    <w:p>
      <w:pPr>
        <w:pStyle w:val="NormalWeb"/>
        <w:spacing w:beforeAutospacing="0" w:before="0" w:afterAutospacing="0" w:after="0"/>
        <w:ind w:firstLine="709"/>
        <w:contextualSpacing/>
        <w:jc w:val="both"/>
        <w:rPr>
          <w:color w:val="000000"/>
          <w:highlight w:val="white"/>
        </w:rPr>
      </w:pPr>
      <w:r>
        <w:rPr>
          <w:color w:val="000000"/>
          <w:highlight w:val="white"/>
        </w:rPr>
      </w:r>
    </w:p>
    <w:p>
      <w:pPr>
        <w:pStyle w:val="Normal"/>
        <w:tabs>
          <w:tab w:val="clear" w:pos="708"/>
          <w:tab w:val="left" w:pos="540" w:leader="none"/>
        </w:tabs>
        <w:spacing w:before="0" w:after="0"/>
        <w:ind w:right="-2" w:firstLine="709"/>
        <w:contextualSpacing/>
        <w:jc w:val="both"/>
        <w:rPr/>
      </w:pPr>
      <w:r>
        <w:rPr>
          <w:color w:val="000000"/>
        </w:rPr>
        <w:t xml:space="preserve">12.1. Ознакомиться с извещением (аукционной документацией), а также получить информацию об объекте аукциона можно в администрации Придорожного сельского поселения Каневского района по адресу:  </w:t>
      </w:r>
      <w:r>
        <w:rPr>
          <w:rFonts w:eastAsia="Calibri"/>
        </w:rPr>
        <w:t>353711, Российская Федерация, Краснодарский край, станица</w:t>
      </w:r>
      <w:r>
        <w:rPr>
          <w:rFonts w:eastAsia="Calibri"/>
          <w:kern w:val="2"/>
        </w:rPr>
        <w:t xml:space="preserve"> Придорожная ул. </w:t>
      </w:r>
      <w:r>
        <w:rPr>
          <w:rFonts w:eastAsia="Calibri"/>
        </w:rPr>
        <w:t xml:space="preserve"> </w:t>
      </w:r>
      <w:r>
        <w:rPr>
          <w:rFonts w:eastAsia="Calibri"/>
          <w:kern w:val="2"/>
        </w:rPr>
        <w:t xml:space="preserve">Красная, д.42, </w:t>
      </w:r>
      <w:r>
        <w:rPr>
          <w:color w:val="000000"/>
        </w:rPr>
        <w:t xml:space="preserve">или по телефону: 8 (86164) 38148, а также </w:t>
      </w:r>
      <w:r>
        <w:rPr/>
        <w:t xml:space="preserve">на официальном сайте Российской Федерации </w:t>
      </w:r>
      <w:r>
        <w:rPr>
          <w:bCs/>
        </w:rPr>
        <w:t xml:space="preserve">в сети «Интернет» </w:t>
      </w:r>
      <w:r>
        <w:rPr/>
        <w:t xml:space="preserve">для размещения информации о проведении торгов </w:t>
      </w:r>
      <w:hyperlink r:id="rId9">
        <w:r>
          <w:rPr>
            <w:rStyle w:val="Style15"/>
          </w:rPr>
          <w:t>www.torgi.gov.ru</w:t>
        </w:r>
      </w:hyperlink>
      <w:r>
        <w:rPr/>
        <w:t>, на электронной площадке</w:t>
      </w:r>
      <w:r>
        <w:rPr>
          <w:rStyle w:val="Style18"/>
          <w:b w:val="false"/>
          <w:sz w:val="24"/>
          <w:szCs w:val="24"/>
        </w:rPr>
        <w:t xml:space="preserve"> РТС-тендер </w:t>
      </w:r>
      <w:hyperlink r:id="rId10">
        <w:r>
          <w:rPr>
            <w:rStyle w:val="Style15"/>
          </w:rPr>
          <w:t>www.rts-tender.ru</w:t>
        </w:r>
      </w:hyperlink>
      <w:r>
        <w:rPr/>
        <w:t xml:space="preserve">, официальном сайте </w:t>
      </w:r>
      <w:r>
        <w:rPr>
          <w:color w:val="000000"/>
        </w:rPr>
        <w:t xml:space="preserve">администрации Придорожного сельского поселения Каневского района </w:t>
      </w:r>
      <w:r>
        <w:rPr>
          <w:color w:val="000000"/>
          <w:u w:val="single"/>
        </w:rPr>
        <w:t>http://pridorozhnaya.ru/</w:t>
      </w:r>
    </w:p>
    <w:p>
      <w:pPr>
        <w:pStyle w:val="Normal"/>
        <w:tabs>
          <w:tab w:val="clear" w:pos="708"/>
          <w:tab w:val="right" w:pos="4762" w:leader="dot"/>
        </w:tabs>
        <w:spacing w:before="0" w:after="0"/>
        <w:ind w:firstLine="709"/>
        <w:contextualSpacing/>
        <w:jc w:val="both"/>
        <w:rPr/>
      </w:pPr>
      <w:r>
        <w:rPr/>
        <w:t xml:space="preserve">12.2. Осмотр объекта аукциона (земельного участка) на местности осуществляется заявителем  самостоятельно. </w:t>
      </w:r>
    </w:p>
    <w:p>
      <w:pPr>
        <w:pStyle w:val="Normal"/>
        <w:tabs>
          <w:tab w:val="clear" w:pos="708"/>
          <w:tab w:val="right" w:pos="4762" w:leader="dot"/>
        </w:tabs>
        <w:spacing w:before="0" w:after="0"/>
        <w:ind w:firstLine="709"/>
        <w:contextualSpacing/>
        <w:jc w:val="both"/>
        <w:rPr>
          <w:b/>
          <w:b/>
        </w:rPr>
      </w:pPr>
      <w:r>
        <w:rPr>
          <w:b/>
        </w:rPr>
      </w:r>
    </w:p>
    <w:p>
      <w:pPr>
        <w:pStyle w:val="ListParagraph"/>
        <w:numPr>
          <w:ilvl w:val="0"/>
          <w:numId w:val="3"/>
        </w:numPr>
        <w:spacing w:lineRule="atLeast" w:line="200"/>
        <w:jc w:val="center"/>
        <w:rPr>
          <w:rFonts w:cs="Calibri"/>
          <w:b/>
          <w:b/>
        </w:rPr>
      </w:pPr>
      <w:r>
        <w:rPr>
          <w:rFonts w:cs="Calibri"/>
          <w:b/>
        </w:rPr>
        <w:t>Информация о размере взимаемой с победителя аукциона платы оператору электронной площадки за участие в аукционе</w:t>
      </w:r>
    </w:p>
    <w:p>
      <w:pPr>
        <w:pStyle w:val="ListParagraph"/>
        <w:spacing w:lineRule="atLeast" w:line="200"/>
        <w:rPr>
          <w:rFonts w:cs="Calibri"/>
          <w:b/>
          <w:b/>
        </w:rPr>
      </w:pPr>
      <w:r>
        <w:rPr>
          <w:rFonts w:cs="Calibri"/>
          <w:b/>
        </w:rPr>
      </w:r>
    </w:p>
    <w:p>
      <w:pPr>
        <w:pStyle w:val="Normal"/>
        <w:ind w:firstLine="720"/>
        <w:jc w:val="both"/>
        <w:rPr/>
      </w:pPr>
      <w:r>
        <w:rPr>
          <w:rFonts w:cs="Calibri"/>
        </w:rPr>
        <w:t>13.1.</w:t>
      </w:r>
      <w:r>
        <w:rPr>
          <w:rFonts w:cs="Calibri"/>
          <w:b/>
        </w:rPr>
        <w:t xml:space="preserve"> </w:t>
      </w:r>
      <w:r>
        <w:rPr>
          <w:rFonts w:cs="Calibri"/>
        </w:rPr>
        <w:t>В соответствии с Земельным Кодексом РФ</w:t>
      </w:r>
      <w:r>
        <w:rPr>
          <w:rFonts w:cs="Calibri"/>
          <w:b/>
        </w:rPr>
        <w:t xml:space="preserve"> </w:t>
      </w:r>
      <w:r>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Pr/>
        <w:t>ст</w:t>
      </w:r>
      <w:hyperlink r:id="rId11">
        <w:r>
          <w:rPr>
            <w:rStyle w:val="ListLabel9"/>
            <w:bCs/>
          </w:rPr>
          <w:t>. 39.12</w:t>
        </w:r>
      </w:hyperlink>
      <w:r>
        <w:rPr>
          <w:bCs/>
        </w:rPr>
        <w:t xml:space="preserve"> Земельного Кодекса РФ заключается договор купли-продажи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tLeast" w:line="200"/>
        <w:jc w:val="both"/>
        <w:rPr/>
      </w:pPr>
      <w:r>
        <w:rPr>
          <w:rFonts w:cs="Calibri"/>
          <w:b/>
        </w:rPr>
        <w:tab/>
      </w:r>
      <w:r>
        <w:rPr>
          <w:rFonts w:cs="Calibri"/>
        </w:rPr>
        <w:t>13.2.</w:t>
      </w:r>
      <w:r>
        <w:rPr>
          <w:rFonts w:cs="Calibri"/>
          <w:b/>
        </w:rPr>
        <w:t xml:space="preserve"> </w:t>
      </w:r>
      <w:r>
        <w:rPr>
          <w:shd w:fill="FFFFFF" w:val="clear"/>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2">
        <w:r>
          <w:rPr>
            <w:rStyle w:val="ListLabel10"/>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pPr>
        <w:pStyle w:val="BodyTextIndent3"/>
        <w:numPr>
          <w:ilvl w:val="0"/>
          <w:numId w:val="0"/>
        </w:numPr>
        <w:spacing w:before="0" w:after="0"/>
        <w:ind w:left="283" w:firstLine="426"/>
        <w:contextualSpacing/>
        <w:jc w:val="center"/>
        <w:outlineLvl w:val="0"/>
        <w:rPr>
          <w:b/>
          <w:b/>
          <w:sz w:val="24"/>
          <w:szCs w:val="24"/>
        </w:rPr>
      </w:pPr>
      <w:r>
        <w:rPr>
          <w:b/>
          <w:sz w:val="24"/>
          <w:szCs w:val="24"/>
        </w:rPr>
      </w:r>
    </w:p>
    <w:p>
      <w:pPr>
        <w:pStyle w:val="BodyTextIndent3"/>
        <w:numPr>
          <w:ilvl w:val="0"/>
          <w:numId w:val="3"/>
        </w:numPr>
        <w:spacing w:before="0" w:after="0"/>
        <w:contextualSpacing/>
        <w:jc w:val="center"/>
        <w:outlineLvl w:val="0"/>
        <w:rPr>
          <w:b/>
          <w:b/>
          <w:sz w:val="24"/>
          <w:szCs w:val="24"/>
        </w:rPr>
      </w:pPr>
      <w:r>
        <w:rPr>
          <w:b/>
          <w:sz w:val="24"/>
          <w:szCs w:val="24"/>
        </w:rPr>
        <w:t>Заключительные положения</w:t>
      </w:r>
    </w:p>
    <w:p>
      <w:pPr>
        <w:pStyle w:val="BodyTextIndent3"/>
        <w:numPr>
          <w:ilvl w:val="0"/>
          <w:numId w:val="0"/>
        </w:numPr>
        <w:spacing w:before="120" w:after="0"/>
        <w:ind w:left="283" w:firstLine="426"/>
        <w:contextualSpacing/>
        <w:jc w:val="center"/>
        <w:outlineLvl w:val="0"/>
        <w:rPr>
          <w:b/>
          <w:b/>
          <w:sz w:val="24"/>
          <w:szCs w:val="24"/>
        </w:rPr>
      </w:pPr>
      <w:r>
        <w:rPr>
          <w:b/>
          <w:sz w:val="24"/>
          <w:szCs w:val="24"/>
        </w:rPr>
      </w:r>
    </w:p>
    <w:p>
      <w:pPr>
        <w:pStyle w:val="NormalWeb"/>
        <w:spacing w:beforeAutospacing="0" w:before="0" w:afterAutospacing="0" w:after="0"/>
        <w:ind w:firstLine="709"/>
        <w:contextualSpacing/>
        <w:jc w:val="both"/>
        <w:rPr/>
      </w:pPr>
      <w:r>
        <w:rPr/>
        <w:t>14.1. Все вопросы, касающиеся проведения аукциона, не нашедшие отражения в настоящем извещении, регулируются законодательством Российской Федерации.</w:t>
      </w:r>
    </w:p>
    <w:p>
      <w:pPr>
        <w:pStyle w:val="Normal"/>
        <w:spacing w:before="0" w:after="0"/>
        <w:contextualSpacing/>
        <w:jc w:val="both"/>
        <w:rPr/>
      </w:pPr>
      <w:r>
        <w:rPr/>
      </w:r>
    </w:p>
    <w:p>
      <w:pPr>
        <w:pStyle w:val="Normal"/>
        <w:tabs>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b/>
          <w:b/>
        </w:rPr>
      </w:pPr>
      <w:r>
        <w:rPr>
          <w:b/>
        </w:rPr>
        <w:t>Приложения к извещению:</w:t>
      </w:r>
    </w:p>
    <w:p>
      <w:pPr>
        <w:pStyle w:val="Normal"/>
        <w:tabs>
          <w:tab w:val="left" w:pos="284" w:leader="none"/>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ind w:firstLine="426"/>
        <w:jc w:val="both"/>
        <w:rPr/>
      </w:pPr>
      <w:r>
        <w:rPr/>
      </w:r>
    </w:p>
    <w:p>
      <w:pPr>
        <w:pStyle w:val="Normal"/>
        <w:widowControl w:val="false"/>
        <w:numPr>
          <w:ilvl w:val="0"/>
          <w:numId w:val="4"/>
        </w:numPr>
        <w:tabs>
          <w:tab w:val="clear" w:pos="708"/>
          <w:tab w:val="left" w:pos="284" w:leader="none"/>
        </w:tabs>
        <w:ind w:left="0" w:firstLine="426"/>
        <w:rPr/>
      </w:pPr>
      <w:r>
        <w:rPr/>
        <w:t>Заявка на участие в аукционе  (форма)</w:t>
      </w:r>
    </w:p>
    <w:p>
      <w:pPr>
        <w:pStyle w:val="Normal"/>
        <w:widowControl w:val="false"/>
        <w:numPr>
          <w:ilvl w:val="0"/>
          <w:numId w:val="4"/>
        </w:numPr>
        <w:tabs>
          <w:tab w:val="clear" w:pos="708"/>
          <w:tab w:val="left" w:pos="284" w:leader="none"/>
        </w:tabs>
        <w:bidi w:val="0"/>
        <w:spacing w:lineRule="auto" w:line="240" w:before="0" w:after="0"/>
        <w:ind w:left="0" w:right="0" w:firstLine="397"/>
        <w:jc w:val="left"/>
        <w:rPr/>
      </w:pPr>
      <w:r>
        <w:rPr/>
        <w:t>Проект договора купли-продажи  земельного участка</w:t>
      </w:r>
    </w:p>
    <w:p>
      <w:pPr>
        <w:pStyle w:val="ListParagraph"/>
        <w:jc w:val="both"/>
        <w:rPr/>
      </w:pPr>
      <w:r>
        <w:rPr/>
      </w:r>
    </w:p>
    <w:sectPr>
      <w:type w:val="nextPage"/>
      <w:pgSz w:w="11906" w:h="16838"/>
      <w:pgMar w:left="1276" w:right="567" w:header="0" w:top="709"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imesNewRomanPSMT">
    <w:charset w:val="cc"/>
    <w:family w:val="roman"/>
    <w:pitch w:val="variable"/>
  </w:font>
  <w:font w:name="TimesNewRomanPS-BoldMT">
    <w:charset w:val="cc"/>
    <w:family w:val="roman"/>
    <w:pitch w:val="variable"/>
  </w:font>
  <w:font w:name="Cambri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3"/>
      <w:numFmt w:val="decimal"/>
      <w:lvlText w:val="%1."/>
      <w:lvlJc w:val="left"/>
      <w:pPr>
        <w:ind w:left="720" w:hanging="360"/>
      </w:pPr>
    </w:lvl>
    <w:lvl w:ilvl="1">
      <w:start w:val="7"/>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4">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Plain Text" w:uiPriority="0"/>
    <w:lsdException w:name="Table Grid" w:uiPriority="59"/>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3cb3"/>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2">
    <w:name w:val="Heading 2"/>
    <w:basedOn w:val="Normal"/>
    <w:next w:val="Normal"/>
    <w:link w:val="20"/>
    <w:semiHidden/>
    <w:unhideWhenUsed/>
    <w:qFormat/>
    <w:rsid w:val="00aa0744"/>
    <w:pPr>
      <w:keepNext w:val="true"/>
      <w:outlineLvl w:val="1"/>
    </w:pPr>
    <w:rPr>
      <w:szCs w:val="20"/>
      <w:u w:val="single"/>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semiHidden/>
    <w:qFormat/>
    <w:rsid w:val="00aa0744"/>
    <w:rPr>
      <w:rFonts w:ascii="Times New Roman" w:hAnsi="Times New Roman" w:eastAsia="Times New Roman" w:cs="Times New Roman"/>
      <w:sz w:val="24"/>
      <w:szCs w:val="20"/>
      <w:u w:val="single"/>
      <w:lang w:eastAsia="ru-RU"/>
    </w:rPr>
  </w:style>
  <w:style w:type="character" w:styleId="Strong">
    <w:name w:val="Strong"/>
    <w:uiPriority w:val="22"/>
    <w:qFormat/>
    <w:rsid w:val="00aa0744"/>
    <w:rPr>
      <w:rFonts w:ascii="Times New Roman" w:hAnsi="Times New Roman" w:cs="Times New Roman"/>
      <w:b/>
      <w:bCs/>
    </w:rPr>
  </w:style>
  <w:style w:type="character" w:styleId="Style13" w:customStyle="1">
    <w:name w:val="Верхний колонтитул Знак"/>
    <w:basedOn w:val="DefaultParagraphFont"/>
    <w:link w:val="a6"/>
    <w:uiPriority w:val="99"/>
    <w:semiHidden/>
    <w:qFormat/>
    <w:rsid w:val="001c7226"/>
    <w:rPr>
      <w:rFonts w:ascii="Times New Roman" w:hAnsi="Times New Roman" w:eastAsia="Times New Roman" w:cs="Times New Roman"/>
      <w:sz w:val="24"/>
      <w:szCs w:val="24"/>
      <w:lang w:eastAsia="ru-RU"/>
    </w:rPr>
  </w:style>
  <w:style w:type="character" w:styleId="Style14" w:customStyle="1">
    <w:name w:val="Нижний колонтитул Знак"/>
    <w:basedOn w:val="DefaultParagraphFont"/>
    <w:link w:val="a8"/>
    <w:uiPriority w:val="99"/>
    <w:semiHidden/>
    <w:qFormat/>
    <w:rsid w:val="001c7226"/>
    <w:rPr>
      <w:rFonts w:ascii="Times New Roman" w:hAnsi="Times New Roman" w:eastAsia="Times New Roman" w:cs="Times New Roman"/>
      <w:sz w:val="24"/>
      <w:szCs w:val="24"/>
      <w:lang w:eastAsia="ru-RU"/>
    </w:rPr>
  </w:style>
  <w:style w:type="character" w:styleId="Style15">
    <w:name w:val="Интернет-ссылка"/>
    <w:uiPriority w:val="99"/>
    <w:rsid w:val="001c7226"/>
    <w:rPr>
      <w:color w:val="0000FF"/>
      <w:u w:val="single"/>
    </w:rPr>
  </w:style>
  <w:style w:type="character" w:styleId="Style16" w:customStyle="1">
    <w:name w:val="Текст Знак"/>
    <w:basedOn w:val="DefaultParagraphFont"/>
    <w:link w:val="ad"/>
    <w:qFormat/>
    <w:rsid w:val="00075391"/>
    <w:rPr>
      <w:rFonts w:ascii="Courier New" w:hAnsi="Courier New" w:eastAsia="Times New Roman" w:cs="Times New Roman"/>
      <w:sz w:val="20"/>
      <w:szCs w:val="20"/>
    </w:rPr>
  </w:style>
  <w:style w:type="character" w:styleId="Style17" w:customStyle="1">
    <w:name w:val="Без интервала Знак"/>
    <w:link w:val="ab"/>
    <w:uiPriority w:val="99"/>
    <w:qFormat/>
    <w:locked/>
    <w:rsid w:val="00fa2c93"/>
    <w:rPr>
      <w:rFonts w:ascii="Times New Roman" w:hAnsi="Times New Roman" w:eastAsia="Times New Roman" w:cs="Times New Roman"/>
      <w:sz w:val="24"/>
      <w:szCs w:val="24"/>
      <w:lang w:eastAsia="zh-CN"/>
    </w:rPr>
  </w:style>
  <w:style w:type="character" w:styleId="3" w:customStyle="1">
    <w:name w:val="Основной текст с отступом 3 Знак"/>
    <w:basedOn w:val="DefaultParagraphFont"/>
    <w:link w:val="3"/>
    <w:uiPriority w:val="99"/>
    <w:semiHidden/>
    <w:qFormat/>
    <w:rsid w:val="00520b82"/>
    <w:rPr>
      <w:rFonts w:ascii="Times New Roman" w:hAnsi="Times New Roman" w:eastAsia="Times New Roman" w:cs="Times New Roman"/>
      <w:sz w:val="16"/>
      <w:szCs w:val="16"/>
      <w:lang w:eastAsia="ru-RU"/>
    </w:rPr>
  </w:style>
  <w:style w:type="character" w:styleId="31" w:customStyle="1">
    <w:name w:val="Основной текст с отступом 3 Знак1"/>
    <w:basedOn w:val="DefaultParagraphFont"/>
    <w:link w:val="3"/>
    <w:uiPriority w:val="99"/>
    <w:qFormat/>
    <w:rsid w:val="00520b82"/>
    <w:rPr>
      <w:rFonts w:ascii="Times New Roman" w:hAnsi="Times New Roman" w:eastAsia="Times New Roman" w:cs="Times New Roman"/>
      <w:sz w:val="16"/>
      <w:szCs w:val="16"/>
      <w:lang w:eastAsia="zh-CN"/>
    </w:rPr>
  </w:style>
  <w:style w:type="character" w:styleId="Fontstyle01" w:customStyle="1">
    <w:name w:val="fontstyle01"/>
    <w:qFormat/>
    <w:rsid w:val="004667a9"/>
    <w:rPr>
      <w:rFonts w:ascii="TimesNewRomanPSMT" w:hAnsi="TimesNewRomanPSMT"/>
      <w:b w:val="false"/>
      <w:bCs w:val="false"/>
      <w:i w:val="false"/>
      <w:iCs w:val="false"/>
      <w:color w:val="000000"/>
      <w:sz w:val="24"/>
      <w:szCs w:val="24"/>
    </w:rPr>
  </w:style>
  <w:style w:type="character" w:styleId="Fontstyle21" w:customStyle="1">
    <w:name w:val="fontstyle21"/>
    <w:qFormat/>
    <w:rsid w:val="004667a9"/>
    <w:rPr>
      <w:rFonts w:ascii="TimesNewRomanPS-BoldMT" w:hAnsi="TimesNewRomanPS-BoldMT"/>
      <w:b/>
      <w:bCs/>
      <w:i w:val="false"/>
      <w:iCs w:val="false"/>
      <w:color w:val="000000"/>
      <w:sz w:val="22"/>
      <w:szCs w:val="22"/>
    </w:rPr>
  </w:style>
  <w:style w:type="character" w:styleId="Style18" w:customStyle="1">
    <w:name w:val="Название Знак"/>
    <w:basedOn w:val="DefaultParagraphFont"/>
    <w:link w:val="af0"/>
    <w:qFormat/>
    <w:rsid w:val="00db6da1"/>
    <w:rPr>
      <w:rFonts w:ascii="Cambria" w:hAnsi="Cambria" w:eastAsia="Times New Roman" w:cs="Times New Roman"/>
      <w:b/>
      <w:bCs/>
      <w:kern w:val="2"/>
      <w:sz w:val="32"/>
      <w:szCs w:val="32"/>
      <w:lang w:eastAsia="ru-RU"/>
    </w:rPr>
  </w:style>
  <w:style w:type="character" w:styleId="ListLabel1">
    <w:name w:val="ListLabel 1"/>
    <w:qFormat/>
    <w:rPr>
      <w:sz w:val="24"/>
      <w:szCs w:val="24"/>
    </w:rPr>
  </w:style>
  <w:style w:type="character" w:styleId="ListLabel2">
    <w:name w:val="ListLabel 2"/>
    <w:qFormat/>
    <w:rPr/>
  </w:style>
  <w:style w:type="character" w:styleId="ListLabel3">
    <w:name w:val="ListLabel 3"/>
    <w:qFormat/>
    <w:rPr>
      <w:shd w:fill="FFFFFF" w:val="clear"/>
    </w:rPr>
  </w:style>
  <w:style w:type="character" w:styleId="ListLabel4">
    <w:name w:val="ListLabel 4"/>
    <w:qFormat/>
    <w:rPr>
      <w:lang w:val="en-US"/>
    </w:rPr>
  </w:style>
  <w:style w:type="character" w:styleId="ListLabel5">
    <w:name w:val="ListLabel 5"/>
    <w:qFormat/>
    <w:rPr>
      <w:b/>
      <w:bCs/>
      <w:color w:val="014DA8"/>
    </w:rPr>
  </w:style>
  <w:style w:type="character" w:styleId="ListLabel6">
    <w:name w:val="ListLabel 6"/>
    <w:qFormat/>
    <w:rPr>
      <w:color w:val="000000"/>
    </w:rPr>
  </w:style>
  <w:style w:type="character" w:styleId="ListLabel7">
    <w:name w:val="ListLabel 7"/>
    <w:qFormat/>
    <w:rPr>
      <w:color w:val="1A0DAB"/>
      <w:shd w:fill="FFFFFF" w:val="clear"/>
    </w:rPr>
  </w:style>
  <w:style w:type="character" w:styleId="ListLabel8">
    <w:name w:val="ListLabel 8"/>
    <w:qFormat/>
    <w:rPr>
      <w:color w:val="000000" w:themeColor="text1"/>
      <w:shd w:fill="FFFFFF" w:val="clear"/>
    </w:rPr>
  </w:style>
  <w:style w:type="character" w:styleId="ListLabel9">
    <w:name w:val="ListLabel 9"/>
    <w:qFormat/>
    <w:rPr>
      <w:bCs/>
    </w:rPr>
  </w:style>
  <w:style w:type="character" w:styleId="ListLabel10">
    <w:name w:val="ListLabel 10"/>
    <w:qFormat/>
    <w:rPr>
      <w:b/>
      <w:bCs/>
    </w:rPr>
  </w:style>
  <w:style w:type="character" w:styleId="ListLabel11">
    <w:name w:val="ListLabel 11"/>
    <w:qFormat/>
    <w:rPr>
      <w:sz w:val="24"/>
      <w:szCs w:val="24"/>
    </w:rPr>
  </w:style>
  <w:style w:type="character" w:styleId="ListLabel12">
    <w:name w:val="ListLabel 12"/>
    <w:qFormat/>
    <w:rPr/>
  </w:style>
  <w:style w:type="character" w:styleId="ListLabel13">
    <w:name w:val="ListLabel 13"/>
    <w:qFormat/>
    <w:rPr>
      <w:color w:val="111111"/>
      <w:highlight w:val="white"/>
      <w:u w:val="single"/>
      <w:lang w:val="en-US"/>
    </w:rPr>
  </w:style>
  <w:style w:type="character" w:styleId="ListLabel14">
    <w:name w:val="ListLabel 14"/>
    <w:qFormat/>
    <w:rPr>
      <w:lang w:val="en-US"/>
    </w:rPr>
  </w:style>
  <w:style w:type="character" w:styleId="ListLabel15">
    <w:name w:val="ListLabel 15"/>
    <w:qFormat/>
    <w:rPr>
      <w:color w:val="000000"/>
    </w:rPr>
  </w:style>
  <w:style w:type="character" w:styleId="ListLabel16">
    <w:name w:val="ListLabel 16"/>
    <w:qFormat/>
    <w:rPr>
      <w:color w:val="1A0DAB"/>
      <w:highlight w:val="white"/>
    </w:rPr>
  </w:style>
  <w:style w:type="character" w:styleId="ListLabel17">
    <w:name w:val="ListLabel 17"/>
    <w:qFormat/>
    <w:rPr>
      <w:color w:val="000000" w:themeColor="text1"/>
      <w:highlight w:val="white"/>
      <w:u w:val="none"/>
    </w:rPr>
  </w:style>
  <w:style w:type="character" w:styleId="ListLabel18">
    <w:name w:val="ListLabel 18"/>
    <w:qFormat/>
    <w:rPr>
      <w:bCs/>
    </w:rPr>
  </w:style>
  <w:style w:type="character" w:styleId="ListLabel19">
    <w:name w:val="ListLabel 19"/>
    <w:qFormat/>
    <w:rPr>
      <w:b/>
      <w:bCs/>
    </w:rPr>
  </w:style>
  <w:style w:type="character" w:styleId="ListLabel20">
    <w:name w:val="ListLabel 20"/>
    <w:qFormat/>
    <w:rPr>
      <w:sz w:val="24"/>
      <w:szCs w:val="24"/>
    </w:rPr>
  </w:style>
  <w:style w:type="character" w:styleId="ListLabel21">
    <w:name w:val="ListLabel 21"/>
    <w:qFormat/>
    <w:rPr/>
  </w:style>
  <w:style w:type="character" w:styleId="ListLabel22">
    <w:name w:val="ListLabel 22"/>
    <w:qFormat/>
    <w:rPr>
      <w:color w:val="111111"/>
      <w:highlight w:val="white"/>
      <w:u w:val="single"/>
      <w:lang w:val="en-US"/>
    </w:rPr>
  </w:style>
  <w:style w:type="character" w:styleId="ListLabel23">
    <w:name w:val="ListLabel 23"/>
    <w:qFormat/>
    <w:rPr>
      <w:lang w:val="en-US"/>
    </w:rPr>
  </w:style>
  <w:style w:type="character" w:styleId="ListLabel24">
    <w:name w:val="ListLabel 24"/>
    <w:qFormat/>
    <w:rPr>
      <w:color w:val="000000"/>
    </w:rPr>
  </w:style>
  <w:style w:type="character" w:styleId="ListLabel25">
    <w:name w:val="ListLabel 25"/>
    <w:qFormat/>
    <w:rPr>
      <w:color w:val="1A0DAB"/>
      <w:highlight w:val="white"/>
    </w:rPr>
  </w:style>
  <w:style w:type="character" w:styleId="ListLabel26">
    <w:name w:val="ListLabel 26"/>
    <w:qFormat/>
    <w:rPr>
      <w:color w:val="000000" w:themeColor="text1"/>
      <w:highlight w:val="white"/>
      <w:u w:val="none"/>
    </w:rPr>
  </w:style>
  <w:style w:type="character" w:styleId="ListLabel27">
    <w:name w:val="ListLabel 27"/>
    <w:qFormat/>
    <w:rPr>
      <w:bCs/>
    </w:rPr>
  </w:style>
  <w:style w:type="character" w:styleId="ListLabel28">
    <w:name w:val="ListLabel 28"/>
    <w:qFormat/>
    <w:rPr>
      <w:b/>
      <w:bCs/>
    </w:rPr>
  </w:style>
  <w:style w:type="character" w:styleId="ListLabel29">
    <w:name w:val="ListLabel 29"/>
    <w:qFormat/>
    <w:rPr>
      <w:sz w:val="24"/>
      <w:szCs w:val="24"/>
    </w:rPr>
  </w:style>
  <w:style w:type="character" w:styleId="ListLabel30">
    <w:name w:val="ListLabel 30"/>
    <w:qFormat/>
    <w:rPr/>
  </w:style>
  <w:style w:type="character" w:styleId="ListLabel31">
    <w:name w:val="ListLabel 31"/>
    <w:qFormat/>
    <w:rPr>
      <w:color w:val="111111"/>
      <w:highlight w:val="white"/>
      <w:u w:val="single"/>
      <w:lang w:val="en-US"/>
    </w:rPr>
  </w:style>
  <w:style w:type="character" w:styleId="ListLabel32">
    <w:name w:val="ListLabel 32"/>
    <w:qFormat/>
    <w:rPr>
      <w:lang w:val="en-US"/>
    </w:rPr>
  </w:style>
  <w:style w:type="character" w:styleId="ListLabel33">
    <w:name w:val="ListLabel 33"/>
    <w:qFormat/>
    <w:rPr>
      <w:color w:val="000000"/>
    </w:rPr>
  </w:style>
  <w:style w:type="character" w:styleId="ListLabel34">
    <w:name w:val="ListLabel 34"/>
    <w:qFormat/>
    <w:rPr>
      <w:color w:val="1A0DAB"/>
      <w:highlight w:val="white"/>
    </w:rPr>
  </w:style>
  <w:style w:type="character" w:styleId="ListLabel35">
    <w:name w:val="ListLabel 35"/>
    <w:qFormat/>
    <w:rPr>
      <w:color w:val="000000" w:themeColor="text1"/>
      <w:highlight w:val="white"/>
      <w:u w:val="none"/>
    </w:rPr>
  </w:style>
  <w:style w:type="character" w:styleId="ListLabel36">
    <w:name w:val="ListLabel 36"/>
    <w:qFormat/>
    <w:rPr>
      <w:bCs/>
    </w:rPr>
  </w:style>
  <w:style w:type="character" w:styleId="ListLabel37">
    <w:name w:val="ListLabel 37"/>
    <w:qFormat/>
    <w:rPr>
      <w:b/>
      <w:bCs/>
    </w:rPr>
  </w:style>
  <w:style w:type="character" w:styleId="ListLabel38">
    <w:name w:val="ListLabel 38"/>
    <w:qFormat/>
    <w:rPr>
      <w:sz w:val="24"/>
      <w:szCs w:val="24"/>
    </w:rPr>
  </w:style>
  <w:style w:type="character" w:styleId="ListLabel39">
    <w:name w:val="ListLabel 39"/>
    <w:qFormat/>
    <w:rPr/>
  </w:style>
  <w:style w:type="character" w:styleId="ListLabel40">
    <w:name w:val="ListLabel 40"/>
    <w:qFormat/>
    <w:rPr>
      <w:color w:val="111111"/>
      <w:highlight w:val="white"/>
      <w:u w:val="single"/>
      <w:lang w:val="en-US"/>
    </w:rPr>
  </w:style>
  <w:style w:type="character" w:styleId="ListLabel41">
    <w:name w:val="ListLabel 41"/>
    <w:qFormat/>
    <w:rPr>
      <w:lang w:val="en-US"/>
    </w:rPr>
  </w:style>
  <w:style w:type="character" w:styleId="ListLabel42">
    <w:name w:val="ListLabel 42"/>
    <w:qFormat/>
    <w:rPr>
      <w:color w:val="000000"/>
    </w:rPr>
  </w:style>
  <w:style w:type="character" w:styleId="ListLabel43">
    <w:name w:val="ListLabel 43"/>
    <w:qFormat/>
    <w:rPr>
      <w:color w:val="1A0DAB"/>
      <w:highlight w:val="white"/>
    </w:rPr>
  </w:style>
  <w:style w:type="character" w:styleId="ListLabel44">
    <w:name w:val="ListLabel 44"/>
    <w:qFormat/>
    <w:rPr>
      <w:color w:val="000000" w:themeColor="text1"/>
      <w:highlight w:val="white"/>
      <w:u w:val="none"/>
    </w:rPr>
  </w:style>
  <w:style w:type="character" w:styleId="ListLabel45">
    <w:name w:val="ListLabel 45"/>
    <w:qFormat/>
    <w:rPr>
      <w:bCs/>
    </w:rPr>
  </w:style>
  <w:style w:type="character" w:styleId="ListLabel46">
    <w:name w:val="ListLabel 46"/>
    <w:qFormat/>
    <w:rPr>
      <w:b/>
      <w:bCs/>
    </w:rPr>
  </w:style>
  <w:style w:type="character" w:styleId="ListLabel47">
    <w:name w:val="ListLabel 47"/>
    <w:qFormat/>
    <w:rPr>
      <w:sz w:val="24"/>
      <w:szCs w:val="24"/>
    </w:rPr>
  </w:style>
  <w:style w:type="character" w:styleId="ListLabel48">
    <w:name w:val="ListLabel 48"/>
    <w:qFormat/>
    <w:rPr/>
  </w:style>
  <w:style w:type="character" w:styleId="ListLabel49">
    <w:name w:val="ListLabel 49"/>
    <w:qFormat/>
    <w:rPr>
      <w:color w:val="111111"/>
      <w:highlight w:val="white"/>
      <w:u w:val="single"/>
      <w:lang w:val="en-US"/>
    </w:rPr>
  </w:style>
  <w:style w:type="character" w:styleId="ListLabel50">
    <w:name w:val="ListLabel 50"/>
    <w:qFormat/>
    <w:rPr>
      <w:lang w:val="en-US"/>
    </w:rPr>
  </w:style>
  <w:style w:type="character" w:styleId="ListLabel51">
    <w:name w:val="ListLabel 51"/>
    <w:qFormat/>
    <w:rPr>
      <w:color w:val="000000"/>
    </w:rPr>
  </w:style>
  <w:style w:type="character" w:styleId="ListLabel52">
    <w:name w:val="ListLabel 52"/>
    <w:qFormat/>
    <w:rPr>
      <w:color w:val="1A0DAB"/>
      <w:highlight w:val="white"/>
    </w:rPr>
  </w:style>
  <w:style w:type="character" w:styleId="ListLabel53">
    <w:name w:val="ListLabel 53"/>
    <w:qFormat/>
    <w:rPr>
      <w:color w:val="000000" w:themeColor="text1"/>
      <w:highlight w:val="white"/>
      <w:u w:val="none"/>
    </w:rPr>
  </w:style>
  <w:style w:type="character" w:styleId="ListLabel54">
    <w:name w:val="ListLabel 54"/>
    <w:qFormat/>
    <w:rPr>
      <w:bCs/>
    </w:rPr>
  </w:style>
  <w:style w:type="character" w:styleId="ListLabel55">
    <w:name w:val="ListLabel 55"/>
    <w:qFormat/>
    <w:rPr>
      <w:b/>
      <w:bCs/>
    </w:rPr>
  </w:style>
  <w:style w:type="character" w:styleId="ListLabel56">
    <w:name w:val="ListLabel 56"/>
    <w:qFormat/>
    <w:rPr>
      <w:sz w:val="24"/>
      <w:szCs w:val="24"/>
    </w:rPr>
  </w:style>
  <w:style w:type="character" w:styleId="ListLabel57">
    <w:name w:val="ListLabel 57"/>
    <w:qFormat/>
    <w:rPr/>
  </w:style>
  <w:style w:type="character" w:styleId="ListLabel58">
    <w:name w:val="ListLabel 58"/>
    <w:qFormat/>
    <w:rPr>
      <w:color w:val="111111"/>
      <w:highlight w:val="white"/>
      <w:u w:val="single"/>
      <w:lang w:val="en-US"/>
    </w:rPr>
  </w:style>
  <w:style w:type="character" w:styleId="ListLabel59">
    <w:name w:val="ListLabel 59"/>
    <w:qFormat/>
    <w:rPr>
      <w:lang w:val="en-US"/>
    </w:rPr>
  </w:style>
  <w:style w:type="character" w:styleId="ListLabel60">
    <w:name w:val="ListLabel 60"/>
    <w:qFormat/>
    <w:rPr>
      <w:color w:val="000000"/>
    </w:rPr>
  </w:style>
  <w:style w:type="character" w:styleId="ListLabel61">
    <w:name w:val="ListLabel 61"/>
    <w:qFormat/>
    <w:rPr>
      <w:color w:val="1A0DAB"/>
      <w:highlight w:val="white"/>
    </w:rPr>
  </w:style>
  <w:style w:type="character" w:styleId="ListLabel62">
    <w:name w:val="ListLabel 62"/>
    <w:qFormat/>
    <w:rPr>
      <w:color w:val="000000" w:themeColor="text1"/>
      <w:highlight w:val="white"/>
      <w:u w:val="none"/>
    </w:rPr>
  </w:style>
  <w:style w:type="character" w:styleId="ListLabel63">
    <w:name w:val="ListLabel 63"/>
    <w:qFormat/>
    <w:rPr>
      <w:bCs/>
    </w:rPr>
  </w:style>
  <w:style w:type="character" w:styleId="ListLabel64">
    <w:name w:val="ListLabel 64"/>
    <w:qFormat/>
    <w:rPr>
      <w:b/>
      <w:bCs/>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NormalWeb">
    <w:name w:val="Normal (Web)"/>
    <w:basedOn w:val="Normal"/>
    <w:uiPriority w:val="99"/>
    <w:unhideWhenUsed/>
    <w:qFormat/>
    <w:rsid w:val="00aa0744"/>
    <w:pPr>
      <w:spacing w:beforeAutospacing="1" w:afterAutospacing="1"/>
    </w:pPr>
    <w:rPr/>
  </w:style>
  <w:style w:type="paragraph" w:styleId="ConsPlusNormal" w:customStyle="1">
    <w:name w:val="ConsPlusNormal"/>
    <w:qFormat/>
    <w:rsid w:val="00aa0744"/>
    <w:pPr>
      <w:widowControl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Iauiue" w:customStyle="1">
    <w:name w:val="Iau?iue"/>
    <w:qFormat/>
    <w:rsid w:val="00aa0744"/>
    <w:pPr>
      <w:widowControl/>
      <w:bidi w:val="0"/>
      <w:spacing w:lineRule="auto" w:line="240" w:before="0" w:after="0"/>
      <w:jc w:val="left"/>
    </w:pPr>
    <w:rPr>
      <w:rFonts w:ascii="Times New Roman" w:hAnsi="Times New Roman" w:eastAsia="Times New Roman" w:cs="Times New Roman"/>
      <w:color w:val="auto"/>
      <w:kern w:val="0"/>
      <w:sz w:val="26"/>
      <w:szCs w:val="20"/>
      <w:lang w:val="ru-RU" w:eastAsia="ru-RU" w:bidi="ar-SA"/>
    </w:rPr>
  </w:style>
  <w:style w:type="paragraph" w:styleId="ListParagraph">
    <w:name w:val="List Paragraph"/>
    <w:basedOn w:val="Normal"/>
    <w:uiPriority w:val="34"/>
    <w:qFormat/>
    <w:rsid w:val="003c7ab7"/>
    <w:pPr>
      <w:spacing w:before="0" w:after="0"/>
      <w:ind w:left="720" w:hanging="0"/>
      <w:contextualSpacing/>
    </w:pPr>
    <w:rPr/>
  </w:style>
  <w:style w:type="paragraph" w:styleId="Style24">
    <w:name w:val="Header"/>
    <w:basedOn w:val="Normal"/>
    <w:link w:val="a7"/>
    <w:uiPriority w:val="99"/>
    <w:semiHidden/>
    <w:unhideWhenUsed/>
    <w:rsid w:val="001c7226"/>
    <w:pPr>
      <w:tabs>
        <w:tab w:val="clear" w:pos="708"/>
        <w:tab w:val="center" w:pos="4677" w:leader="none"/>
        <w:tab w:val="right" w:pos="9355" w:leader="none"/>
      </w:tabs>
    </w:pPr>
    <w:rPr/>
  </w:style>
  <w:style w:type="paragraph" w:styleId="Style25">
    <w:name w:val="Footer"/>
    <w:basedOn w:val="Normal"/>
    <w:link w:val="a9"/>
    <w:uiPriority w:val="99"/>
    <w:semiHidden/>
    <w:unhideWhenUsed/>
    <w:rsid w:val="001c7226"/>
    <w:pPr>
      <w:tabs>
        <w:tab w:val="clear" w:pos="708"/>
        <w:tab w:val="center" w:pos="4677" w:leader="none"/>
        <w:tab w:val="right" w:pos="9355" w:leader="none"/>
      </w:tabs>
    </w:pPr>
    <w:rPr/>
  </w:style>
  <w:style w:type="paragraph" w:styleId="NoSpacing">
    <w:name w:val="No Spacing"/>
    <w:link w:val="ac"/>
    <w:uiPriority w:val="99"/>
    <w:qFormat/>
    <w:rsid w:val="001c7226"/>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zh-CN" w:bidi="ar-SA"/>
    </w:rPr>
  </w:style>
  <w:style w:type="paragraph" w:styleId="PlainText">
    <w:name w:val="Plain Text"/>
    <w:basedOn w:val="Normal"/>
    <w:link w:val="ae"/>
    <w:qFormat/>
    <w:rsid w:val="00075391"/>
    <w:pPr/>
    <w:rPr>
      <w:rFonts w:ascii="Courier New" w:hAnsi="Courier New"/>
      <w:sz w:val="20"/>
      <w:szCs w:val="20"/>
    </w:rPr>
  </w:style>
  <w:style w:type="paragraph" w:styleId="BodyTextIndent3">
    <w:name w:val="Body Text Indent 3"/>
    <w:basedOn w:val="Normal"/>
    <w:link w:val="31"/>
    <w:uiPriority w:val="99"/>
    <w:unhideWhenUsed/>
    <w:qFormat/>
    <w:rsid w:val="00520b82"/>
    <w:pPr>
      <w:suppressAutoHyphens w:val="true"/>
      <w:spacing w:before="0" w:after="120"/>
      <w:ind w:left="283" w:hanging="0"/>
    </w:pPr>
    <w:rPr>
      <w:sz w:val="16"/>
      <w:szCs w:val="16"/>
      <w:lang w:eastAsia="zh-CN"/>
    </w:rPr>
  </w:style>
  <w:style w:type="paragraph" w:styleId="Default" w:customStyle="1">
    <w:name w:val="Default"/>
    <w:qFormat/>
    <w:rsid w:val="000e3cfc"/>
    <w:pPr>
      <w:widowControl/>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211" w:customStyle="1">
    <w:name w:val="Основной текст с отступом 21"/>
    <w:basedOn w:val="Normal"/>
    <w:qFormat/>
    <w:rsid w:val="00ba1777"/>
    <w:pPr>
      <w:suppressAutoHyphens w:val="true"/>
      <w:ind w:firstLine="720"/>
      <w:jc w:val="both"/>
    </w:pPr>
    <w:rPr>
      <w:sz w:val="28"/>
      <w:szCs w:val="20"/>
      <w:lang w:eastAsia="ar-SA"/>
    </w:rPr>
  </w:style>
  <w:style w:type="paragraph" w:styleId="Style26" w:customStyle="1">
    <w:name w:val="Термин"/>
    <w:basedOn w:val="Normal"/>
    <w:qFormat/>
    <w:rsid w:val="00a67b6c"/>
    <w:pPr>
      <w:suppressAutoHyphens w:val="true"/>
      <w:spacing w:lineRule="atLeast" w:line="100"/>
      <w:ind w:left="567" w:hanging="0"/>
      <w:jc w:val="both"/>
      <w:textAlignment w:val="baseline"/>
    </w:pPr>
    <w:rPr>
      <w:rFonts w:cs="Courier New"/>
      <w:kern w:val="2"/>
      <w:sz w:val="26"/>
      <w:szCs w:val="20"/>
      <w:lang w:eastAsia="ar-SA"/>
    </w:rPr>
  </w:style>
  <w:style w:type="paragraph" w:styleId="Style141" w:customStyle="1">
    <w:name w:val="Style14"/>
    <w:basedOn w:val="Normal"/>
    <w:qFormat/>
    <w:rsid w:val="00b31e47"/>
    <w:pPr>
      <w:widowControl w:val="false"/>
      <w:suppressAutoHyphens w:val="true"/>
      <w:spacing w:lineRule="exact" w:line="344"/>
      <w:ind w:firstLine="581"/>
      <w:jc w:val="both"/>
      <w:textAlignment w:val="baseline"/>
    </w:pPr>
    <w:rPr>
      <w:kern w:val="2"/>
      <w:sz w:val="20"/>
      <w:szCs w:val="20"/>
      <w:lang w:eastAsia="ar-SA"/>
    </w:rPr>
  </w:style>
  <w:style w:type="paragraph" w:styleId="Style27">
    <w:name w:val="Title"/>
    <w:basedOn w:val="Normal"/>
    <w:next w:val="Normal"/>
    <w:link w:val="af1"/>
    <w:qFormat/>
    <w:rsid w:val="00db6da1"/>
    <w:pPr>
      <w:spacing w:before="240" w:after="60"/>
      <w:jc w:val="center"/>
      <w:outlineLvl w:val="0"/>
    </w:pPr>
    <w:rPr>
      <w:rFonts w:ascii="Cambria" w:hAnsi="Cambria"/>
      <w:b/>
      <w:bCs/>
      <w:kern w:val="2"/>
      <w:sz w:val="32"/>
      <w:szCs w:val="32"/>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ts-tender.ru/property-sales" TargetMode="External"/><Relationship Id="rId3" Type="http://schemas.openxmlformats.org/officeDocument/2006/relationships/hyperlink" Target="https://www.rts-tender.ru/platform-rules/platform-property-sales" TargetMode="External"/><Relationship Id="rId4" Type="http://schemas.openxmlformats.org/officeDocument/2006/relationships/hyperlink" Target="mailto:zakupki_stder@mail.ru" TargetMode="External"/><Relationship Id="rId5" Type="http://schemas.openxmlformats.org/officeDocument/2006/relationships/hyperlink" Target="http://pkk5.rosreestr.ru/" TargetMode="External"/><Relationship Id="rId6" Type="http://schemas.openxmlformats.org/officeDocument/2006/relationships/hyperlink" Target="consultantplus://offline/ref=C50578304D073E65B0CC088FA7049314BD5D005CEAB09ED6F3D95A97DA1C055D47E79E49FAA764AB9A0A1B9933N5h4M" TargetMode="External"/><Relationship Id="rId7" Type="http://schemas.openxmlformats.org/officeDocument/2006/relationships/hyperlink" Target="https://www.rts-tender.ru/" TargetMode="External"/><Relationship Id="rId8" Type="http://schemas.openxmlformats.org/officeDocument/2006/relationships/hyperlink" Target="https://www.rts-tender.ru/property-sales" TargetMode="External"/><Relationship Id="rId9" Type="http://schemas.openxmlformats.org/officeDocument/2006/relationships/hyperlink" Target="http://www.torgi.gov.ru/" TargetMode="External"/><Relationship Id="rId10" Type="http://schemas.openxmlformats.org/officeDocument/2006/relationships/hyperlink" Target="http://www.rts-tender.ru/" TargetMode="External"/><Relationship Id="rId11" Type="http://schemas.openxmlformats.org/officeDocument/2006/relationships/hyperlink" Target="consultantplus://offline/ref=5F7ACCAEC1BFD4DC16E9F8047330EAEDCD3F2F446CD2780129D5F0348B9C6CD41D9C7F4423A4EB32F172F75CDDD497F279C36345771B004Dp06AH" TargetMode="External"/><Relationship Id="rId12" Type="http://schemas.openxmlformats.org/officeDocument/2006/relationships/hyperlink" Target="http://www.rts-tender.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Application>LibreOffice/6.2.2.2$Windows_x86 LibreOffice_project/2b840030fec2aae0fd2658d8d4f9548af4e3518d</Application>
  <Pages>9</Pages>
  <Words>3449</Words>
  <Characters>24580</Characters>
  <CharactersWithSpaces>28064</CharactersWithSpaces>
  <Paragraphs>154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2022-05-17T09:19:00Z</dcterms:created>
  <dc:creator>User</dc:creator>
  <dc:description/>
  <dc:language>ru-RU</dc:language>
  <cp:lastModifiedBy/>
  <cp:lastPrinted>2023-05-03T11:11:00Z</cp:lastPrinted>
  <dcterms:modified xsi:type="dcterms:W3CDTF">2023-05-29T15:24:09Z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