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3B" w:rsidRDefault="00C9133B" w:rsidP="00C9133B">
      <w:pPr>
        <w:spacing w:line="360" w:lineRule="atLeast"/>
        <w:ind w:firstLine="720"/>
        <w:jc w:val="center"/>
        <w:rPr>
          <w:b/>
          <w:i/>
          <w:sz w:val="36"/>
          <w:szCs w:val="36"/>
        </w:rPr>
      </w:pPr>
      <w:r w:rsidRPr="00EB26CF">
        <w:rPr>
          <w:b/>
          <w:i/>
          <w:sz w:val="36"/>
          <w:szCs w:val="36"/>
        </w:rPr>
        <w:t xml:space="preserve">Информация о праве потребителей обращаться за установкой приборов учета в </w:t>
      </w:r>
      <w:proofErr w:type="spellStart"/>
      <w:r w:rsidRPr="00EB26CF">
        <w:rPr>
          <w:b/>
          <w:i/>
          <w:sz w:val="36"/>
          <w:szCs w:val="36"/>
        </w:rPr>
        <w:t>ресурсоснабжающую</w:t>
      </w:r>
      <w:proofErr w:type="spellEnd"/>
      <w:r w:rsidRPr="00EB26CF">
        <w:rPr>
          <w:b/>
          <w:i/>
          <w:sz w:val="36"/>
          <w:szCs w:val="36"/>
        </w:rPr>
        <w:t xml:space="preserve"> организацию.</w:t>
      </w:r>
    </w:p>
    <w:p w:rsidR="00C9133B" w:rsidRPr="00EB26CF" w:rsidRDefault="00C9133B" w:rsidP="00C9133B">
      <w:pPr>
        <w:spacing w:line="360" w:lineRule="atLeast"/>
        <w:ind w:firstLine="72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Выписка и ФЗ- №261 « Об энергосбережении и о повышении энергетической эффективности и о внесении изменений в отдельные законодательные акты РФ.</w:t>
      </w:r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  <w:r w:rsidRPr="00DB0AF6">
        <w:rPr>
          <w:sz w:val="32"/>
          <w:szCs w:val="32"/>
        </w:rPr>
        <w:t>13.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</w:t>
      </w:r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  <w:r w:rsidRPr="00DB0AF6">
        <w:rPr>
          <w:sz w:val="32"/>
          <w:szCs w:val="32"/>
        </w:rPr>
        <w:t xml:space="preserve"> 1.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</w:t>
      </w:r>
      <w:proofErr w:type="gramStart"/>
      <w:r w:rsidRPr="00DB0AF6">
        <w:rPr>
          <w:sz w:val="32"/>
          <w:szCs w:val="32"/>
        </w:rPr>
        <w:t>Требования настоящей статьи в части организации учета используемых энергетических ресурсов распространяются на объекты, подключенные к электрическим сетям централизованного электроснабжения, и (или) системам централизованного теплоснабжения, и (или) системам централизованного водоснабжения, и (или) системам централизованного газоснабжения, и (или) иным системам централизованного снабжения энергетическими ресурсами.</w:t>
      </w:r>
      <w:proofErr w:type="gramEnd"/>
      <w:r w:rsidRPr="00DB0AF6">
        <w:rPr>
          <w:sz w:val="32"/>
          <w:szCs w:val="32"/>
        </w:rPr>
        <w:t xml:space="preserve"> Если иные требования к местам установки приборов учета используемых энергетических ресурсов не установлены настоящим Федеральным законом, другими федеральными законами, иными нормативными правовыми актами Российской Федерации, исполнение требований настоящей статьи в части организации </w:t>
      </w:r>
      <w:proofErr w:type="gramStart"/>
      <w:r w:rsidRPr="00DB0AF6">
        <w:rPr>
          <w:sz w:val="32"/>
          <w:szCs w:val="32"/>
        </w:rPr>
        <w:t>учета</w:t>
      </w:r>
      <w:proofErr w:type="gramEnd"/>
      <w:r w:rsidRPr="00DB0AF6">
        <w:rPr>
          <w:sz w:val="32"/>
          <w:szCs w:val="32"/>
        </w:rPr>
        <w:t xml:space="preserve"> используемых энергетических ресурсов применительно к объектам, подключенным к системам централизованного снабжения соответствующим энергетическим ресурсом,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объектам, используемым для передачи энергетических ресурсов, в местах подключения смежных объектов, используемых для передачи энергетических ресурсов и принадлежащих на праве </w:t>
      </w:r>
      <w:r w:rsidRPr="00DB0AF6">
        <w:rPr>
          <w:sz w:val="32"/>
          <w:szCs w:val="32"/>
        </w:rPr>
        <w:lastRenderedPageBreak/>
        <w:t xml:space="preserve">собственности или ином предусмотренном законодательством Российской Федерации основании разным лицам.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Федерации. Требования настоящей статьи в части организации учета используемых энергетических ресурсов не распространяются на ветхие, аварийные объекты, объекты, подлежащие сносу или капитальному ремонту до 1 января 2013 года, а также объекты, мощность потребления электрической энергии которых составляет менее чем пять киловатт (в отношении организации учета используемой электрической энергии) или максимальный объем потребления тепловой </w:t>
      </w:r>
      <w:proofErr w:type="gramStart"/>
      <w:r w:rsidRPr="00DB0AF6">
        <w:rPr>
          <w:sz w:val="32"/>
          <w:szCs w:val="32"/>
        </w:rPr>
        <w:t>энергии</w:t>
      </w:r>
      <w:proofErr w:type="gramEnd"/>
      <w:r w:rsidRPr="00DB0AF6">
        <w:rPr>
          <w:sz w:val="32"/>
          <w:szCs w:val="32"/>
        </w:rPr>
        <w:t xml:space="preserve"> которых составляет менее чем две десятых </w:t>
      </w:r>
      <w:proofErr w:type="spellStart"/>
      <w:r w:rsidRPr="00DB0AF6">
        <w:rPr>
          <w:sz w:val="32"/>
          <w:szCs w:val="32"/>
        </w:rPr>
        <w:t>гигакалории</w:t>
      </w:r>
      <w:proofErr w:type="spellEnd"/>
      <w:r w:rsidRPr="00DB0AF6">
        <w:rPr>
          <w:sz w:val="32"/>
          <w:szCs w:val="32"/>
        </w:rPr>
        <w:t xml:space="preserve"> в час (в отношении организации учета используемой тепловой энергии).</w:t>
      </w:r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  <w:r w:rsidRPr="00DB0AF6">
        <w:rPr>
          <w:sz w:val="32"/>
          <w:szCs w:val="32"/>
        </w:rPr>
        <w:t xml:space="preserve">2. Расчеты за энергетические ресурсы должны осуществляться на основании данных о количественном значении энергетических ресурсов, произведенных, переданных, потребленных, определенных при помощи приборов учета используемых энергетических ресурсов. </w:t>
      </w:r>
      <w:proofErr w:type="gramStart"/>
      <w:r w:rsidRPr="00DB0AF6">
        <w:rPr>
          <w:sz w:val="32"/>
          <w:szCs w:val="32"/>
        </w:rPr>
        <w:t>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месяца, следующего за датой их установки, и их применение должно начаться при осуществлении расчетов за энергетические ресурсы не позднее первого числа месяца, следующего за месяцем ввода этих приборов учета в эксплуатацию.</w:t>
      </w:r>
      <w:proofErr w:type="gramEnd"/>
      <w:r w:rsidRPr="00DB0AF6">
        <w:rPr>
          <w:sz w:val="32"/>
          <w:szCs w:val="32"/>
        </w:rPr>
        <w:t xml:space="preserve"> Расчеты за энергетические ресурсы могут осуществляться без учета данных, полученных при помощи установленных и введенных в эксплуатацию приборов учета используемых энергетических ресурсов, по договору поставки, договору купли-продажи энергетических ресурсов, включающим в себя условия </w:t>
      </w:r>
      <w:proofErr w:type="spellStart"/>
      <w:r w:rsidRPr="00DB0AF6">
        <w:rPr>
          <w:sz w:val="32"/>
          <w:szCs w:val="32"/>
        </w:rPr>
        <w:t>энергосервисного</w:t>
      </w:r>
      <w:proofErr w:type="spellEnd"/>
      <w:r w:rsidRPr="00DB0AF6">
        <w:rPr>
          <w:sz w:val="32"/>
          <w:szCs w:val="32"/>
        </w:rPr>
        <w:t xml:space="preserve"> договора (контракта). До установки приборов учета используемых энергетических ресурсов, а также при выходе из строя, утрате или по истечении </w:t>
      </w:r>
      <w:proofErr w:type="gramStart"/>
      <w:r w:rsidRPr="00DB0AF6">
        <w:rPr>
          <w:sz w:val="32"/>
          <w:szCs w:val="32"/>
        </w:rPr>
        <w:t>срока эксплуатации приборов учета используемых энергетических ресурсов</w:t>
      </w:r>
      <w:proofErr w:type="gramEnd"/>
      <w:r w:rsidRPr="00DB0AF6">
        <w:rPr>
          <w:sz w:val="32"/>
          <w:szCs w:val="32"/>
        </w:rPr>
        <w:t xml:space="preserve"> расчеты за энергетические ресурсы должны </w:t>
      </w:r>
      <w:r w:rsidRPr="00DB0AF6">
        <w:rPr>
          <w:sz w:val="32"/>
          <w:szCs w:val="32"/>
        </w:rPr>
        <w:lastRenderedPageBreak/>
        <w:t>осуществляться с применением расчетных способов определения количества энергетических ресурсов, установленных в соответствии с законодательством Российской Федерации. При этом указанные расчетные способы должны определять количество энергетических ресурсов таким образом, чтобы стимулировать покупателей энергетических ресурсов к осуществлению расчетов на основании данных об их количественном значении, определенных при помощи приборов учета используемых энергетических ресурсов.</w:t>
      </w:r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  <w:r w:rsidRPr="00DB0AF6">
        <w:rPr>
          <w:sz w:val="32"/>
          <w:szCs w:val="32"/>
        </w:rPr>
        <w:t xml:space="preserve">3. </w:t>
      </w:r>
      <w:proofErr w:type="gramStart"/>
      <w:r w:rsidRPr="00DB0AF6">
        <w:rPr>
          <w:sz w:val="32"/>
          <w:szCs w:val="32"/>
        </w:rPr>
        <w:t>До 1 января 2011 года органы государственной власти, органы местного самоуправления обеспечивают завершение проведения мероприятий по оснащению зданий, строений, сооружений, используемых для размещения указанных органов, находящихся в государственной или муниципальной собственности и введенных в эксплуатацию на день вступления в силу настоящего Федерального закона, приборами учета используемых воды, природного газа, тепловой энергии, электрической энергии, а также ввод установленных приборов учета в</w:t>
      </w:r>
      <w:proofErr w:type="gramEnd"/>
      <w:r w:rsidRPr="00DB0AF6">
        <w:rPr>
          <w:sz w:val="32"/>
          <w:szCs w:val="32"/>
        </w:rPr>
        <w:t xml:space="preserve"> эксплуатацию.</w:t>
      </w:r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  <w:r w:rsidRPr="00DB0AF6">
        <w:rPr>
          <w:sz w:val="32"/>
          <w:szCs w:val="32"/>
        </w:rPr>
        <w:t xml:space="preserve">4. </w:t>
      </w:r>
      <w:proofErr w:type="gramStart"/>
      <w:r w:rsidRPr="00DB0AF6">
        <w:rPr>
          <w:sz w:val="32"/>
          <w:szCs w:val="32"/>
        </w:rPr>
        <w:t>До 1 января 2011 года собственники зданий, строений, сооружений и иных объектов,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(в том числе временных объектов), за исключением объектов, указанных в частях 3, 5 и 6 настоящей статьи, обязаны завершить оснащение таких объектов приборами учета используемых воды, природного газа, тепловой</w:t>
      </w:r>
      <w:proofErr w:type="gramEnd"/>
      <w:r w:rsidRPr="00DB0AF6">
        <w:rPr>
          <w:sz w:val="32"/>
          <w:szCs w:val="32"/>
        </w:rPr>
        <w:t xml:space="preserve"> энергии, электрической энергии, а также ввод установленных приборов учета в эксплуатацию.</w:t>
      </w:r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  <w:r w:rsidRPr="00DB0AF6">
        <w:rPr>
          <w:sz w:val="32"/>
          <w:szCs w:val="32"/>
        </w:rPr>
        <w:t xml:space="preserve">5. </w:t>
      </w:r>
      <w:proofErr w:type="gramStart"/>
      <w:r w:rsidRPr="00DB0AF6">
        <w:rPr>
          <w:sz w:val="32"/>
          <w:szCs w:val="32"/>
        </w:rPr>
        <w:t xml:space="preserve">До 1 июля 2012 года собственники жилых домов, за исключением указанных в части 6 настоящей статьи, собственники помещений в многоквартирных домах, введенных в эксплуатацию на день вступления в силу настоящего Федерального закона, обязаны обеспечить </w:t>
      </w:r>
      <w:r w:rsidRPr="00DB0AF6">
        <w:rPr>
          <w:sz w:val="32"/>
          <w:szCs w:val="32"/>
        </w:rPr>
        <w:lastRenderedPageBreak/>
        <w:t>оснащение таких домов приборами учета используемых воды, тепловой энергии, электрической энергии, а также ввод установленных приборов учета в эксплуатацию.</w:t>
      </w:r>
      <w:proofErr w:type="gramEnd"/>
      <w:r w:rsidRPr="00DB0AF6">
        <w:rPr>
          <w:sz w:val="32"/>
          <w:szCs w:val="32"/>
        </w:rPr>
        <w:t xml:space="preserve"> При этом многоквартирные дома в указанный срок должны быть оснащены коллективными (</w:t>
      </w:r>
      <w:proofErr w:type="spellStart"/>
      <w:r w:rsidRPr="00DB0AF6">
        <w:rPr>
          <w:sz w:val="32"/>
          <w:szCs w:val="32"/>
        </w:rPr>
        <w:t>общедомовыми</w:t>
      </w:r>
      <w:proofErr w:type="spellEnd"/>
      <w:r w:rsidRPr="00DB0AF6">
        <w:rPr>
          <w:sz w:val="32"/>
          <w:szCs w:val="32"/>
        </w:rPr>
        <w:t xml:space="preserve">) приборами учета </w:t>
      </w:r>
      <w:proofErr w:type="gramStart"/>
      <w:r w:rsidRPr="00DB0AF6">
        <w:rPr>
          <w:sz w:val="32"/>
          <w:szCs w:val="32"/>
        </w:rPr>
        <w:t>используемых</w:t>
      </w:r>
      <w:proofErr w:type="gramEnd"/>
      <w:r w:rsidRPr="00DB0AF6">
        <w:rPr>
          <w:sz w:val="32"/>
          <w:szCs w:val="32"/>
        </w:rPr>
        <w:t xml:space="preserve"> воды, тепловой энергии, электрической энергии, а также индивидуальными и общими (для коммунальной квартиры) приборами учета используемых воды, электрической энергии.</w:t>
      </w:r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  <w:r w:rsidRPr="00DB0AF6">
        <w:rPr>
          <w:sz w:val="32"/>
          <w:szCs w:val="32"/>
        </w:rPr>
        <w:t>(в ред. Федерального закона от 11.07.2011 N 197-ФЗ)</w:t>
      </w:r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  <w:r w:rsidRPr="00DB0AF6">
        <w:rPr>
          <w:sz w:val="32"/>
          <w:szCs w:val="32"/>
        </w:rPr>
        <w:t>5.1. До 1 января 2015 года собственники объектов, указанных в части 5 настоящей статьи, обязаны обеспечить оснащение указанных объектов индивидуальными и общими (для коммунальных квартир) приборами учета используемого природного газа, а также ввод установленных приборов учета в эксплуатацию.</w:t>
      </w:r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  <w:r w:rsidRPr="00DB0AF6">
        <w:rPr>
          <w:sz w:val="32"/>
          <w:szCs w:val="32"/>
        </w:rPr>
        <w:t>(</w:t>
      </w:r>
      <w:proofErr w:type="gramStart"/>
      <w:r w:rsidRPr="00DB0AF6">
        <w:rPr>
          <w:sz w:val="32"/>
          <w:szCs w:val="32"/>
        </w:rPr>
        <w:t>ч</w:t>
      </w:r>
      <w:proofErr w:type="gramEnd"/>
      <w:r w:rsidRPr="00DB0AF6">
        <w:rPr>
          <w:sz w:val="32"/>
          <w:szCs w:val="32"/>
        </w:rPr>
        <w:t>асть 5.1 введена Федеральным законом от 11.07.2011 N 197-ФЗ)</w:t>
      </w:r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  <w:r w:rsidRPr="00DB0AF6">
        <w:rPr>
          <w:sz w:val="32"/>
          <w:szCs w:val="32"/>
        </w:rPr>
        <w:t xml:space="preserve">6. </w:t>
      </w:r>
      <w:proofErr w:type="gramStart"/>
      <w:r w:rsidRPr="00DB0AF6">
        <w:rPr>
          <w:sz w:val="32"/>
          <w:szCs w:val="32"/>
        </w:rPr>
        <w:t>До 1 июля 2012 года собственники введенных в эксплуатацию на день вступления в силу настоящего Федерального закона жилых домов, дачных домов или садовых домов, которые объединены принадлежащими им или созданным ими организациям (объединениям) общими сетями инженерно-технического обеспечения, подключенными к электрическим сетям централизованного электроснабжения, и (или) системам централизованного теплоснабжения, и (или) системам централизованного водоснабжения, и (или) иным системам централизованного снабжения энергетическими</w:t>
      </w:r>
      <w:proofErr w:type="gramEnd"/>
      <w:r w:rsidRPr="00DB0AF6">
        <w:rPr>
          <w:sz w:val="32"/>
          <w:szCs w:val="32"/>
        </w:rPr>
        <w:t xml:space="preserve"> ресурсами, за исключением систем централизованного газоснабжения, обязаны обеспечить установку коллективных (на границе с централизованными системами) приборов учета используемых воды, тепловой энергии, электрической энергии, а также ввод установленных приборов учета в эксплуатацию.</w:t>
      </w:r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  <w:r w:rsidRPr="00DB0AF6">
        <w:rPr>
          <w:sz w:val="32"/>
          <w:szCs w:val="32"/>
        </w:rPr>
        <w:t>(в ред. Федерального закона от 11.07.2011 N 197-ФЗ)</w:t>
      </w:r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  <w:r w:rsidRPr="00DB0AF6">
        <w:rPr>
          <w:sz w:val="32"/>
          <w:szCs w:val="32"/>
        </w:rPr>
        <w:t xml:space="preserve">6.1. </w:t>
      </w:r>
      <w:proofErr w:type="gramStart"/>
      <w:r w:rsidRPr="00DB0AF6">
        <w:rPr>
          <w:sz w:val="32"/>
          <w:szCs w:val="32"/>
        </w:rPr>
        <w:t>До 1 января 2015 года собственники объектов, указанных в части 6 настоящей статьи и объединенных общими сетями инженерно- технического обеспечения, принадлежащими им или созданным ими организациям (объединениям) и подключенными к системе централизованного газоснабжения, обязаны обеспечить установку на указанных объектах коллективных (на границе с централизованными системами) приборов учета используемого природного газа, а также ввод установленных приборов учета в эксплуатацию.</w:t>
      </w:r>
      <w:proofErr w:type="gramEnd"/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  <w:r w:rsidRPr="00DB0AF6">
        <w:rPr>
          <w:sz w:val="32"/>
          <w:szCs w:val="32"/>
        </w:rPr>
        <w:t>(часть 6.1 введена Федеральным законом от 11.07.2011 N 197-ФЗ)</w:t>
      </w:r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  <w:r w:rsidRPr="00DB0AF6">
        <w:rPr>
          <w:sz w:val="32"/>
          <w:szCs w:val="32"/>
        </w:rPr>
        <w:t xml:space="preserve">7. </w:t>
      </w:r>
      <w:proofErr w:type="gramStart"/>
      <w:r w:rsidRPr="00DB0AF6">
        <w:rPr>
          <w:sz w:val="32"/>
          <w:szCs w:val="32"/>
        </w:rPr>
        <w:t>Здания, строения, сооружения и иные объекты, в процессе эксплуатации которых используются энергетические ресурсы, в том числе временные объекты, вводимые в эксплуатацию после дня вступления в силу настоящего Федерального закона, на дату их ввода в эксплуатацию должны быть оснащены приборами учета используемых энергетических ресурсов, аналогичными указанным в частях 3 — 6.1 настоящей статьи.</w:t>
      </w:r>
      <w:proofErr w:type="gramEnd"/>
      <w:r w:rsidRPr="00DB0AF6">
        <w:rPr>
          <w:sz w:val="32"/>
          <w:szCs w:val="32"/>
        </w:rPr>
        <w:t xml:space="preserve"> </w:t>
      </w:r>
      <w:proofErr w:type="gramStart"/>
      <w:r w:rsidRPr="00DB0AF6">
        <w:rPr>
          <w:sz w:val="32"/>
          <w:szCs w:val="32"/>
        </w:rPr>
        <w:t>Многоквартирные дома, вводимые в эксплуатацию с 1 января 2012 года после осуществления строительства, реконструкции, должны быть оснащены дополнительно индивидуальными приборами учета используемой тепловой энергии, а многоквартирные дома, вводимые в эксплуатацию с 1 января 2012 года после капитального ремонта, должны быть оснащены индивидуальными приборами учета используемой тепловой энергии при наличии технической возможности их установки.</w:t>
      </w:r>
      <w:proofErr w:type="gramEnd"/>
      <w:r w:rsidRPr="00DB0AF6">
        <w:rPr>
          <w:sz w:val="32"/>
          <w:szCs w:val="32"/>
        </w:rPr>
        <w:t xml:space="preserve"> Собственники приборов учета используемых энергетических ресурсов обязаны обеспечить надлежащую эксплуатацию этих приборов учета, их сохранность, своевременную замену.</w:t>
      </w:r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  <w:r w:rsidRPr="00DB0AF6">
        <w:rPr>
          <w:sz w:val="32"/>
          <w:szCs w:val="32"/>
        </w:rPr>
        <w:t>(в ред. Федерального закона от 11.07.2011 N 197-ФЗ)</w:t>
      </w:r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  <w:r w:rsidRPr="00DB0AF6">
        <w:rPr>
          <w:sz w:val="32"/>
          <w:szCs w:val="32"/>
        </w:rPr>
        <w:t>8. Действия по установке, замене, эксплуатации приборов учета используемых энергетических ресурсов вправе осуществлять лица, отвечающие требованиям, установленным законодательством Российской Федерации для осуществления таких действий.</w:t>
      </w:r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  <w:r w:rsidRPr="00DB0AF6">
        <w:rPr>
          <w:sz w:val="32"/>
          <w:szCs w:val="32"/>
        </w:rPr>
        <w:lastRenderedPageBreak/>
        <w:t xml:space="preserve">9. С 1 июля 2010 года организации, которые осуществляют снабжение водой, природным газом, тепловой энергией, электрической энергией или их передачу и сети инженерно-технического </w:t>
      </w:r>
      <w:proofErr w:type="gramStart"/>
      <w:r w:rsidRPr="00DB0AF6">
        <w:rPr>
          <w:sz w:val="32"/>
          <w:szCs w:val="32"/>
        </w:rPr>
        <w:t>обеспечения</w:t>
      </w:r>
      <w:proofErr w:type="gramEnd"/>
      <w:r w:rsidRPr="00DB0AF6">
        <w:rPr>
          <w:sz w:val="32"/>
          <w:szCs w:val="32"/>
        </w:rPr>
        <w:t xml:space="preserve"> которых имеют непосредственное присоединение к сетям, входящим в состав инженерно-технического оборудования объектов, подлежащих в соответствии с требованиями настоящей статьи оснащению приборами учета используемых энергетических ресурсов, обязаны осуществлять деятельность по установке, замене, эксплуатации приборов учета используемых энергетических ресурсов, </w:t>
      </w:r>
      <w:proofErr w:type="gramStart"/>
      <w:r w:rsidRPr="00DB0AF6">
        <w:rPr>
          <w:sz w:val="32"/>
          <w:szCs w:val="32"/>
        </w:rPr>
        <w:t>снабжение</w:t>
      </w:r>
      <w:proofErr w:type="gramEnd"/>
      <w:r w:rsidRPr="00DB0AF6">
        <w:rPr>
          <w:sz w:val="32"/>
          <w:szCs w:val="32"/>
        </w:rPr>
        <w:t xml:space="preserve"> которыми или передачу которых они осуществляют. Указанные организации не вправе отказать обратившимся к ним лицам в заключени</w:t>
      </w:r>
      <w:proofErr w:type="gramStart"/>
      <w:r w:rsidRPr="00DB0AF6">
        <w:rPr>
          <w:sz w:val="32"/>
          <w:szCs w:val="32"/>
        </w:rPr>
        <w:t>и</w:t>
      </w:r>
      <w:proofErr w:type="gramEnd"/>
      <w:r w:rsidRPr="00DB0AF6">
        <w:rPr>
          <w:sz w:val="32"/>
          <w:szCs w:val="32"/>
        </w:rPr>
        <w:t xml:space="preserve"> договора, регулирующего условия установки, замены и (или) эксплуатации приборов учета используемых энергетических ресурсов, снабжение которыми или передачу которых они осуществляют. Цена такого договора определяется соглашением сторон. </w:t>
      </w:r>
      <w:proofErr w:type="gramStart"/>
      <w:r w:rsidRPr="00DB0AF6">
        <w:rPr>
          <w:sz w:val="32"/>
          <w:szCs w:val="32"/>
        </w:rPr>
        <w:t>За просрочку исполнения обязательства по установке, замене и (или) эксплуатации этих приборов учета указанные организации уплачивают потребителю за каждый день просрочки неустойку (пени), определяемую в размере одной трехсотой ставки рефинансирования Центрального банка Российской Федерации, действующей на день исполнения обязательства, но не более чем в размере цены выполнения работ, оказания услуг по договору.</w:t>
      </w:r>
      <w:proofErr w:type="gramEnd"/>
      <w:r w:rsidRPr="00DB0AF6">
        <w:rPr>
          <w:sz w:val="32"/>
          <w:szCs w:val="32"/>
        </w:rPr>
        <w:t xml:space="preserve"> Порядок заключения и существенные условия такого договора утверждаются уполномоченным федеральным органом исполнительной власти. </w:t>
      </w:r>
      <w:proofErr w:type="gramStart"/>
      <w:r w:rsidRPr="00DB0AF6">
        <w:rPr>
          <w:sz w:val="32"/>
          <w:szCs w:val="32"/>
        </w:rPr>
        <w:t>Договор, регулирующий условия установки коллективного или индивидуального (общего для коммунальной квартиры) прибора учета используемого энергетического ресурса (снабжение которым или передачу которого осуществляют указанные организации) и заключаемый с гражданином — собственником жилого дома, дачного дома или садового дома либо уполномоченным им лицом, с гражданином — собственником помещения в многоквартирном доме или лицом, ответственным за содержание многоквартирного дома, в целях выполнения ими обязанностей, предусмотренных</w:t>
      </w:r>
      <w:proofErr w:type="gramEnd"/>
      <w:r w:rsidRPr="00DB0AF6">
        <w:rPr>
          <w:sz w:val="32"/>
          <w:szCs w:val="32"/>
        </w:rPr>
        <w:t xml:space="preserve"> частями 5 — 6.1 настоящей </w:t>
      </w:r>
      <w:r w:rsidRPr="00DB0AF6">
        <w:rPr>
          <w:sz w:val="32"/>
          <w:szCs w:val="32"/>
        </w:rPr>
        <w:lastRenderedPageBreak/>
        <w:t xml:space="preserve">статьи, должен содержать условие об оплате цены, определенной таким договором, равными долями в течение пяти лет с даты его заключения, за исключением случая, если потребитель выразил намерение </w:t>
      </w:r>
      <w:proofErr w:type="gramStart"/>
      <w:r w:rsidRPr="00DB0AF6">
        <w:rPr>
          <w:sz w:val="32"/>
          <w:szCs w:val="32"/>
        </w:rPr>
        <w:t>оплатить цену, определенную</w:t>
      </w:r>
      <w:proofErr w:type="gramEnd"/>
      <w:r w:rsidRPr="00DB0AF6">
        <w:rPr>
          <w:sz w:val="32"/>
          <w:szCs w:val="32"/>
        </w:rPr>
        <w:t xml:space="preserve"> таким договором, единовременно или с меньшим периодом рассрочки. </w:t>
      </w:r>
      <w:proofErr w:type="gramStart"/>
      <w:r w:rsidRPr="00DB0AF6">
        <w:rPr>
          <w:sz w:val="32"/>
          <w:szCs w:val="32"/>
        </w:rPr>
        <w:t>При включении в такой договор условия о рассрочке в цену, определенную таким договором, подлежит включению сумма процентов, начисляемых в связи с предоставлением рассрочки, но не более чем в размере ставки рефинансирования Центрального банка Российской Федерации, действующей на день начисления, за исключением случаев, если соответствующая компенсация осуществляется за счет средств бюджета субъекта Российской Федерации, местного бюджета.</w:t>
      </w:r>
      <w:proofErr w:type="gramEnd"/>
      <w:r w:rsidRPr="00DB0AF6">
        <w:rPr>
          <w:sz w:val="32"/>
          <w:szCs w:val="32"/>
        </w:rPr>
        <w:t xml:space="preserve"> Субъект Российской Федерации, муниципальное образование вправе предоставлять в порядке, установленном бюджетным законодательством Российской Федерации, за счет средств бюджета субъекта Российской Федерации, местного бюджета указанным организациям поддержку путем выделения им средств на возмещение расходов, понесенных ими в связи с предоставлением рассрочки.</w:t>
      </w:r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  <w:r w:rsidRPr="00DB0AF6">
        <w:rPr>
          <w:sz w:val="32"/>
          <w:szCs w:val="32"/>
        </w:rPr>
        <w:t>(в ред. Федерального закона от 11.07.2011 N 197-ФЗ)</w:t>
      </w:r>
    </w:p>
    <w:p w:rsidR="00C9133B" w:rsidRPr="00DB0AF6" w:rsidRDefault="00C9133B" w:rsidP="00C9133B">
      <w:pPr>
        <w:pStyle w:val="ConsPlusNormal"/>
        <w:jc w:val="both"/>
        <w:rPr>
          <w:sz w:val="32"/>
          <w:szCs w:val="32"/>
        </w:rPr>
      </w:pPr>
      <w:r w:rsidRPr="00DB0AF6">
        <w:rPr>
          <w:sz w:val="32"/>
          <w:szCs w:val="32"/>
        </w:rPr>
        <w:t xml:space="preserve">10. </w:t>
      </w:r>
      <w:proofErr w:type="gramStart"/>
      <w:r w:rsidRPr="00DB0AF6">
        <w:rPr>
          <w:sz w:val="32"/>
          <w:szCs w:val="32"/>
        </w:rPr>
        <w:t>До 1 июля 2010 года организации, указанные в части 9 настоящей статьи, обязаны предоставить собственникам жилых домов, указанных в части 5 настоящей статьи, собственникам помещений в многоквартирных домах, лицам, ответственным за содержание многоквартирных домов, лицам, представляющим интересы собственников, указанных в части 6 настоящей статьи, предложения об оснащении объектов, указанных в частях 5 и 6 настоящей статьи, приборами учета используемых энергетических</w:t>
      </w:r>
      <w:proofErr w:type="gramEnd"/>
      <w:r w:rsidRPr="00DB0AF6">
        <w:rPr>
          <w:sz w:val="32"/>
          <w:szCs w:val="32"/>
        </w:rPr>
        <w:t xml:space="preserve"> ресурсов, снабжение которыми или передачу которых осуществляют указанные организации.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власти. В случае</w:t>
      </w:r>
      <w:proofErr w:type="gramStart"/>
      <w:r w:rsidRPr="00DB0AF6">
        <w:rPr>
          <w:sz w:val="32"/>
          <w:szCs w:val="32"/>
        </w:rPr>
        <w:t>,</w:t>
      </w:r>
      <w:proofErr w:type="gramEnd"/>
      <w:r w:rsidRPr="00DB0AF6">
        <w:rPr>
          <w:sz w:val="32"/>
          <w:szCs w:val="32"/>
        </w:rPr>
        <w:t xml:space="preserve"> если продажу энергетических ресурсов для объектов, указанных в частях 5 и 6 настоящей статьи, осуществляет на основании </w:t>
      </w:r>
      <w:r w:rsidRPr="00DB0AF6">
        <w:rPr>
          <w:sz w:val="32"/>
          <w:szCs w:val="32"/>
        </w:rPr>
        <w:lastRenderedPageBreak/>
        <w:t xml:space="preserve">публичного договора отличная от указанных в части 9 настоящей статьи организация, не позднее 1 июля 2010 года она обязана предоставить собственникам жилых домов, указанных в части 5 настоящей статьи, собственникам помещений в многоквартирных домах, лицам, ответственным за содержание многоквартирных домов, лицам, </w:t>
      </w:r>
      <w:proofErr w:type="gramStart"/>
      <w:r w:rsidRPr="00DB0AF6">
        <w:rPr>
          <w:sz w:val="32"/>
          <w:szCs w:val="32"/>
        </w:rPr>
        <w:t>представляющим интересы собственников, указанных в части 6 настоящей статьи, полученную из общедоступных источников информацию о возможных исполнителях услуг по оснащению объектов, указанных в частях 5 и 6 настоящей статьи, приборами учета используемых энергетических ресурсов.</w:t>
      </w:r>
      <w:proofErr w:type="gramEnd"/>
      <w:r w:rsidRPr="00DB0AF6">
        <w:rPr>
          <w:sz w:val="32"/>
          <w:szCs w:val="32"/>
        </w:rPr>
        <w:t xml:space="preserve"> Лица, ответственные за содержание многоквартирных домов, обязаны информировать собственников помещений в многоквартирных домах о поступивших </w:t>
      </w:r>
      <w:proofErr w:type="gramStart"/>
      <w:r w:rsidRPr="00DB0AF6">
        <w:rPr>
          <w:sz w:val="32"/>
          <w:szCs w:val="32"/>
        </w:rPr>
        <w:t>предложениях</w:t>
      </w:r>
      <w:proofErr w:type="gramEnd"/>
      <w:r w:rsidRPr="00DB0AF6">
        <w:rPr>
          <w:sz w:val="32"/>
          <w:szCs w:val="32"/>
        </w:rPr>
        <w:t xml:space="preserve"> об оснащении многоквартирных домов, помещений в них приборами учета используемых энергетических ресурсов, а также об установленных настоящим Федеральным законом сроках оснащения приборами учета используемых энергетических ресурсов. </w:t>
      </w:r>
      <w:proofErr w:type="gramStart"/>
      <w:r w:rsidRPr="00DB0AF6">
        <w:rPr>
          <w:sz w:val="32"/>
          <w:szCs w:val="32"/>
        </w:rPr>
        <w:t>Организации, которые осуществляют снабжение природным газом или его передачу и сети инженерно-технического обеспечения которых имеют непосредственное присоединение к сетям, входящим в состав инженерно- технического оборудования объектов, подлежащих в соответствии с требованиями настоящей статьи оснащению приборами учета используемого природного газа, обязаны представлять не позднее 1 января 2013 года лицам, указанным в частях 5.1 и 6.1 настоящей статьи, предложения об оснащении таких</w:t>
      </w:r>
      <w:proofErr w:type="gramEnd"/>
      <w:r w:rsidRPr="00DB0AF6">
        <w:rPr>
          <w:sz w:val="32"/>
          <w:szCs w:val="32"/>
        </w:rPr>
        <w:t xml:space="preserve"> объектов приборами учета природного газа.</w:t>
      </w:r>
    </w:p>
    <w:p w:rsidR="00C9133B" w:rsidRPr="003631F9" w:rsidRDefault="00C9133B" w:rsidP="00C9133B">
      <w:pPr>
        <w:pStyle w:val="ConsPlusNormal"/>
        <w:jc w:val="both"/>
        <w:rPr>
          <w:sz w:val="32"/>
          <w:szCs w:val="32"/>
        </w:rPr>
      </w:pPr>
      <w:r w:rsidRPr="00DB0AF6">
        <w:rPr>
          <w:sz w:val="32"/>
          <w:szCs w:val="32"/>
        </w:rPr>
        <w:t>(в ред. Федерального закона от 11.07.2011 N 197-ФЗ)</w:t>
      </w:r>
    </w:p>
    <w:p w:rsidR="00C9133B" w:rsidRPr="00B5032A" w:rsidRDefault="00C9133B" w:rsidP="00C9133B">
      <w:pPr>
        <w:spacing w:line="360" w:lineRule="atLeast"/>
        <w:ind w:firstLine="720"/>
        <w:jc w:val="both"/>
        <w:rPr>
          <w:sz w:val="25"/>
          <w:szCs w:val="25"/>
        </w:rPr>
      </w:pPr>
    </w:p>
    <w:p w:rsidR="003916C1" w:rsidRDefault="003916C1"/>
    <w:sectPr w:rsidR="0039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C9133B"/>
    <w:rsid w:val="003916C1"/>
    <w:rsid w:val="00C9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3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2201</Words>
  <Characters>12548</Characters>
  <Application>Microsoft Office Word</Application>
  <DocSecurity>0</DocSecurity>
  <Lines>104</Lines>
  <Paragraphs>29</Paragraphs>
  <ScaleCrop>false</ScaleCrop>
  <Company/>
  <LinksUpToDate>false</LinksUpToDate>
  <CharactersWithSpaces>14720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2014-05-20T05:36:00Z</dcterms:created>
  <dcterms:modified xsi:type="dcterms:W3CDTF">2014-05-20T05:37:00Z</dcterms:modified>
</cp:coreProperties>
</file>